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90E" w:rsidRPr="000126B6" w:rsidRDefault="0025190E" w:rsidP="0025190E">
      <w:pPr>
        <w:pBdr>
          <w:bottom w:val="single" w:sz="12" w:space="1" w:color="auto"/>
        </w:pBdr>
        <w:jc w:val="center"/>
        <w:rPr>
          <w:rFonts w:eastAsia="Calibri"/>
          <w:b/>
          <w:color w:val="000000"/>
          <w:sz w:val="26"/>
          <w:szCs w:val="26"/>
        </w:rPr>
      </w:pPr>
      <w:r w:rsidRPr="000126B6">
        <w:rPr>
          <w:rFonts w:eastAsia="Calibri"/>
          <w:b/>
          <w:color w:val="000000"/>
          <w:sz w:val="26"/>
          <w:szCs w:val="26"/>
        </w:rPr>
        <w:t xml:space="preserve">СОВЕТ </w:t>
      </w:r>
      <w:r>
        <w:rPr>
          <w:rFonts w:eastAsia="Calibri"/>
          <w:b/>
          <w:color w:val="000000"/>
          <w:sz w:val="26"/>
          <w:szCs w:val="26"/>
        </w:rPr>
        <w:t>ЕРЕМЕЕВСКОГО</w:t>
      </w:r>
      <w:r w:rsidRPr="000126B6">
        <w:rPr>
          <w:rFonts w:eastAsia="Calibri"/>
          <w:b/>
          <w:color w:val="000000"/>
          <w:sz w:val="26"/>
          <w:szCs w:val="26"/>
        </w:rPr>
        <w:t xml:space="preserve"> СЕЛЬСКОГО ПОСЕЛЕНИЯ</w:t>
      </w:r>
    </w:p>
    <w:p w:rsidR="0025190E" w:rsidRPr="000126B6" w:rsidRDefault="0025190E" w:rsidP="0025190E">
      <w:pPr>
        <w:pBdr>
          <w:bottom w:val="single" w:sz="12" w:space="1" w:color="auto"/>
        </w:pBdr>
        <w:jc w:val="center"/>
        <w:rPr>
          <w:rFonts w:eastAsia="Calibri"/>
          <w:b/>
          <w:color w:val="000000"/>
          <w:sz w:val="26"/>
          <w:szCs w:val="26"/>
        </w:rPr>
      </w:pPr>
      <w:r w:rsidRPr="000126B6">
        <w:rPr>
          <w:rFonts w:eastAsia="Calibri"/>
          <w:b/>
          <w:color w:val="000000"/>
          <w:sz w:val="26"/>
          <w:szCs w:val="26"/>
        </w:rPr>
        <w:t>ПОЛТАВСКОГО МУНИЦИПАЛЬНОГО РАЙОНА ОМСКОЙ ОБЛАСТИ</w:t>
      </w:r>
    </w:p>
    <w:p w:rsidR="0025190E" w:rsidRDefault="0025190E" w:rsidP="0025190E">
      <w:pPr>
        <w:rPr>
          <w:rFonts w:eastAsia="Calibri"/>
          <w:color w:val="000000"/>
          <w:sz w:val="26"/>
          <w:szCs w:val="26"/>
        </w:rPr>
      </w:pPr>
    </w:p>
    <w:p w:rsidR="0025190E" w:rsidRPr="00AB31D9" w:rsidRDefault="0025190E" w:rsidP="0025190E">
      <w:pPr>
        <w:tabs>
          <w:tab w:val="left" w:pos="7426"/>
        </w:tabs>
        <w:rPr>
          <w:rFonts w:eastAsia="Calibri"/>
          <w:b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ab/>
      </w:r>
      <w:r w:rsidRPr="00AB31D9">
        <w:rPr>
          <w:rFonts w:eastAsia="Calibri"/>
          <w:b/>
          <w:color w:val="000000"/>
          <w:sz w:val="26"/>
          <w:szCs w:val="26"/>
        </w:rPr>
        <w:t>ПРОЕКТ</w:t>
      </w:r>
    </w:p>
    <w:p w:rsidR="0025190E" w:rsidRDefault="0025190E" w:rsidP="0025190E">
      <w:pPr>
        <w:jc w:val="center"/>
        <w:rPr>
          <w:rFonts w:eastAsia="Calibri"/>
          <w:b/>
          <w:color w:val="000000"/>
          <w:sz w:val="26"/>
          <w:szCs w:val="26"/>
        </w:rPr>
      </w:pPr>
      <w:r w:rsidRPr="000126B6">
        <w:rPr>
          <w:rFonts w:eastAsia="Calibri"/>
          <w:b/>
          <w:color w:val="000000"/>
          <w:sz w:val="26"/>
          <w:szCs w:val="26"/>
        </w:rPr>
        <w:t>РЕШЕНИЕ</w:t>
      </w:r>
    </w:p>
    <w:p w:rsidR="0025190E" w:rsidRDefault="0025190E" w:rsidP="0025190E">
      <w:pPr>
        <w:jc w:val="center"/>
        <w:rPr>
          <w:rFonts w:eastAsia="Calibri"/>
          <w:b/>
          <w:color w:val="000000"/>
          <w:sz w:val="26"/>
          <w:szCs w:val="26"/>
        </w:rPr>
      </w:pPr>
    </w:p>
    <w:p w:rsidR="0025190E" w:rsidRPr="000126B6" w:rsidRDefault="0025190E" w:rsidP="0025190E">
      <w:pPr>
        <w:jc w:val="center"/>
        <w:rPr>
          <w:rFonts w:eastAsia="Calibri"/>
          <w:b/>
          <w:color w:val="000000"/>
          <w:sz w:val="26"/>
          <w:szCs w:val="26"/>
        </w:rPr>
      </w:pPr>
    </w:p>
    <w:p w:rsidR="0025190E" w:rsidRPr="002B4E76" w:rsidRDefault="0025190E" w:rsidP="0025190E">
      <w:pPr>
        <w:ind w:right="-6"/>
        <w:rPr>
          <w:sz w:val="28"/>
          <w:szCs w:val="28"/>
        </w:rPr>
      </w:pPr>
      <w:r w:rsidRPr="00A657E1">
        <w:rPr>
          <w:szCs w:val="28"/>
        </w:rPr>
        <w:t xml:space="preserve">от </w:t>
      </w:r>
      <w:r>
        <w:rPr>
          <w:szCs w:val="28"/>
        </w:rPr>
        <w:t xml:space="preserve"> ** марта 2025 года</w:t>
      </w:r>
      <w:r w:rsidRPr="00A657E1">
        <w:rPr>
          <w:szCs w:val="28"/>
        </w:rPr>
        <w:tab/>
        <w:t xml:space="preserve">          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</w:t>
      </w:r>
      <w:r>
        <w:rPr>
          <w:szCs w:val="28"/>
        </w:rPr>
        <w:tab/>
        <w:t xml:space="preserve">                    </w:t>
      </w:r>
      <w:r w:rsidRPr="00A657E1">
        <w:rPr>
          <w:szCs w:val="28"/>
        </w:rPr>
        <w:t>№</w:t>
      </w:r>
      <w:r>
        <w:rPr>
          <w:szCs w:val="28"/>
        </w:rPr>
        <w:t xml:space="preserve"> **</w:t>
      </w:r>
      <w:r w:rsidRPr="002B4E76">
        <w:rPr>
          <w:sz w:val="28"/>
          <w:szCs w:val="28"/>
        </w:rPr>
        <w:tab/>
      </w:r>
      <w:r w:rsidRPr="002B4E76">
        <w:rPr>
          <w:sz w:val="28"/>
          <w:szCs w:val="28"/>
        </w:rPr>
        <w:tab/>
      </w:r>
    </w:p>
    <w:p w:rsidR="0025190E" w:rsidRPr="002B4E76" w:rsidRDefault="0025190E" w:rsidP="0025190E">
      <w:pPr>
        <w:ind w:right="-6"/>
        <w:jc w:val="center"/>
        <w:rPr>
          <w:b/>
          <w:sz w:val="28"/>
          <w:szCs w:val="28"/>
        </w:rPr>
      </w:pPr>
    </w:p>
    <w:p w:rsidR="0025190E" w:rsidRPr="00A657E1" w:rsidRDefault="0025190E" w:rsidP="0025190E">
      <w:pPr>
        <w:ind w:right="-6"/>
        <w:rPr>
          <w:b/>
          <w:szCs w:val="28"/>
        </w:rPr>
      </w:pPr>
      <w:r w:rsidRPr="00A657E1">
        <w:rPr>
          <w:b/>
          <w:szCs w:val="28"/>
        </w:rPr>
        <w:t xml:space="preserve">О заключении </w:t>
      </w:r>
      <w:r>
        <w:rPr>
          <w:b/>
          <w:szCs w:val="28"/>
        </w:rPr>
        <w:t>контрольно-счетного органа</w:t>
      </w:r>
      <w:r w:rsidRPr="00A657E1">
        <w:rPr>
          <w:b/>
          <w:szCs w:val="28"/>
        </w:rPr>
        <w:t xml:space="preserve"> </w:t>
      </w:r>
    </w:p>
    <w:p w:rsidR="0025190E" w:rsidRPr="00A657E1" w:rsidRDefault="0025190E" w:rsidP="0025190E">
      <w:pPr>
        <w:ind w:right="-6"/>
        <w:rPr>
          <w:b/>
          <w:szCs w:val="28"/>
        </w:rPr>
      </w:pPr>
      <w:r w:rsidRPr="00A657E1">
        <w:rPr>
          <w:b/>
          <w:szCs w:val="28"/>
        </w:rPr>
        <w:t xml:space="preserve">на проект отчета об исполнении </w:t>
      </w:r>
    </w:p>
    <w:p w:rsidR="0025190E" w:rsidRPr="00A657E1" w:rsidRDefault="0025190E" w:rsidP="0025190E">
      <w:pPr>
        <w:ind w:right="-6"/>
        <w:rPr>
          <w:b/>
          <w:szCs w:val="28"/>
        </w:rPr>
      </w:pPr>
      <w:r w:rsidRPr="00A657E1">
        <w:rPr>
          <w:b/>
          <w:szCs w:val="28"/>
        </w:rPr>
        <w:t>местного бюджета за 20</w:t>
      </w:r>
      <w:r>
        <w:rPr>
          <w:b/>
          <w:szCs w:val="28"/>
        </w:rPr>
        <w:t xml:space="preserve">24 </w:t>
      </w:r>
      <w:r w:rsidRPr="00A657E1">
        <w:rPr>
          <w:b/>
          <w:szCs w:val="28"/>
        </w:rPr>
        <w:t>год</w:t>
      </w:r>
    </w:p>
    <w:p w:rsidR="0025190E" w:rsidRPr="002B4E76" w:rsidRDefault="0025190E" w:rsidP="0025190E">
      <w:pPr>
        <w:ind w:right="-6"/>
        <w:rPr>
          <w:sz w:val="28"/>
          <w:szCs w:val="28"/>
        </w:rPr>
      </w:pPr>
    </w:p>
    <w:p w:rsidR="0025190E" w:rsidRPr="002B4E76" w:rsidRDefault="0025190E" w:rsidP="0025190E">
      <w:pPr>
        <w:ind w:right="-6"/>
        <w:jc w:val="center"/>
        <w:rPr>
          <w:b/>
          <w:sz w:val="28"/>
          <w:szCs w:val="28"/>
        </w:rPr>
      </w:pPr>
    </w:p>
    <w:p w:rsidR="0025190E" w:rsidRPr="002B4E76" w:rsidRDefault="0025190E" w:rsidP="0025190E">
      <w:pPr>
        <w:tabs>
          <w:tab w:val="left" w:pos="709"/>
        </w:tabs>
        <w:jc w:val="both"/>
        <w:rPr>
          <w:sz w:val="28"/>
          <w:szCs w:val="28"/>
        </w:rPr>
      </w:pPr>
      <w:r w:rsidRPr="002B4E76">
        <w:rPr>
          <w:sz w:val="28"/>
          <w:szCs w:val="28"/>
        </w:rPr>
        <w:tab/>
        <w:t xml:space="preserve">     Руководствуясь Бюджетным Кодексом Российской Федерации, Уставом </w:t>
      </w:r>
      <w:r>
        <w:rPr>
          <w:sz w:val="28"/>
          <w:szCs w:val="28"/>
        </w:rPr>
        <w:t xml:space="preserve">Еремеевского </w:t>
      </w:r>
      <w:r w:rsidRPr="002B4E76">
        <w:rPr>
          <w:sz w:val="28"/>
          <w:szCs w:val="28"/>
        </w:rPr>
        <w:t xml:space="preserve">сельского поселения, Положением о бюджетном процессе в </w:t>
      </w:r>
      <w:r>
        <w:rPr>
          <w:sz w:val="28"/>
          <w:szCs w:val="28"/>
        </w:rPr>
        <w:t xml:space="preserve">Еремеевского </w:t>
      </w:r>
      <w:r w:rsidRPr="002B4E76">
        <w:rPr>
          <w:sz w:val="28"/>
          <w:szCs w:val="28"/>
        </w:rPr>
        <w:t xml:space="preserve">сельском поселении, заслушав выступление председателя </w:t>
      </w:r>
      <w:r>
        <w:rPr>
          <w:sz w:val="28"/>
          <w:szCs w:val="28"/>
        </w:rPr>
        <w:t>контрольно-счетного органа Галаган Елены Владимировны</w:t>
      </w:r>
      <w:r w:rsidRPr="002B4E76">
        <w:rPr>
          <w:sz w:val="28"/>
          <w:szCs w:val="28"/>
        </w:rPr>
        <w:t xml:space="preserve">, Совет </w:t>
      </w:r>
      <w:r>
        <w:rPr>
          <w:sz w:val="28"/>
          <w:szCs w:val="28"/>
        </w:rPr>
        <w:t xml:space="preserve">Красногорского </w:t>
      </w:r>
      <w:r w:rsidRPr="002B4E76">
        <w:rPr>
          <w:sz w:val="28"/>
          <w:szCs w:val="28"/>
        </w:rPr>
        <w:t xml:space="preserve">сельского поселения </w:t>
      </w:r>
    </w:p>
    <w:p w:rsidR="0025190E" w:rsidRPr="002B4E76" w:rsidRDefault="0025190E" w:rsidP="0025190E">
      <w:pPr>
        <w:ind w:right="-6"/>
        <w:jc w:val="both"/>
        <w:rPr>
          <w:b/>
          <w:sz w:val="28"/>
          <w:szCs w:val="28"/>
        </w:rPr>
      </w:pPr>
    </w:p>
    <w:p w:rsidR="0025190E" w:rsidRPr="002B4E76" w:rsidRDefault="0025190E" w:rsidP="0025190E">
      <w:pPr>
        <w:ind w:right="-6"/>
        <w:rPr>
          <w:b/>
          <w:sz w:val="28"/>
          <w:szCs w:val="28"/>
        </w:rPr>
      </w:pPr>
      <w:r w:rsidRPr="002B4E76">
        <w:rPr>
          <w:b/>
          <w:sz w:val="28"/>
          <w:szCs w:val="28"/>
        </w:rPr>
        <w:tab/>
        <w:t>РЕШИЛ:</w:t>
      </w:r>
    </w:p>
    <w:p w:rsidR="0025190E" w:rsidRPr="002B4E76" w:rsidRDefault="0025190E" w:rsidP="0025190E">
      <w:pPr>
        <w:ind w:right="-6"/>
        <w:jc w:val="center"/>
        <w:rPr>
          <w:b/>
          <w:sz w:val="28"/>
          <w:szCs w:val="28"/>
        </w:rPr>
      </w:pPr>
    </w:p>
    <w:p w:rsidR="0025190E" w:rsidRPr="002B4E76" w:rsidRDefault="0025190E" w:rsidP="0025190E">
      <w:pPr>
        <w:ind w:right="-6"/>
        <w:jc w:val="both"/>
        <w:rPr>
          <w:sz w:val="28"/>
          <w:szCs w:val="28"/>
        </w:rPr>
      </w:pPr>
      <w:r w:rsidRPr="002B4E76">
        <w:rPr>
          <w:sz w:val="28"/>
          <w:szCs w:val="28"/>
        </w:rPr>
        <w:tab/>
        <w:t xml:space="preserve">1. Заключение </w:t>
      </w:r>
      <w:r>
        <w:rPr>
          <w:sz w:val="28"/>
          <w:szCs w:val="28"/>
        </w:rPr>
        <w:t>контрольно-счетного органа</w:t>
      </w:r>
      <w:r w:rsidRPr="002B4E76">
        <w:rPr>
          <w:sz w:val="28"/>
          <w:szCs w:val="28"/>
        </w:rPr>
        <w:t xml:space="preserve"> на проект отчет</w:t>
      </w:r>
      <w:r>
        <w:rPr>
          <w:sz w:val="28"/>
          <w:szCs w:val="28"/>
        </w:rPr>
        <w:t>а</w:t>
      </w:r>
      <w:r w:rsidRPr="002B4E76">
        <w:rPr>
          <w:sz w:val="28"/>
          <w:szCs w:val="28"/>
        </w:rPr>
        <w:t xml:space="preserve"> об исполнении местного бюджета за 20</w:t>
      </w:r>
      <w:r>
        <w:rPr>
          <w:sz w:val="28"/>
          <w:szCs w:val="28"/>
        </w:rPr>
        <w:t>24</w:t>
      </w:r>
      <w:r w:rsidRPr="002B4E76">
        <w:rPr>
          <w:sz w:val="28"/>
          <w:szCs w:val="28"/>
        </w:rPr>
        <w:t xml:space="preserve"> год принять к сведению (прилагается).</w:t>
      </w:r>
    </w:p>
    <w:p w:rsidR="0025190E" w:rsidRPr="002B4E76" w:rsidRDefault="0025190E" w:rsidP="0025190E">
      <w:pPr>
        <w:ind w:right="-6"/>
        <w:jc w:val="both"/>
        <w:rPr>
          <w:sz w:val="28"/>
          <w:szCs w:val="28"/>
        </w:rPr>
      </w:pPr>
      <w:r w:rsidRPr="002B4E76">
        <w:rPr>
          <w:sz w:val="28"/>
          <w:szCs w:val="28"/>
        </w:rPr>
        <w:tab/>
        <w:t>2. Настоящее решение опубликовать (обнародовать)</w:t>
      </w:r>
    </w:p>
    <w:p w:rsidR="0025190E" w:rsidRPr="002B4E76" w:rsidRDefault="0025190E" w:rsidP="0025190E">
      <w:pPr>
        <w:ind w:right="-6"/>
        <w:jc w:val="both"/>
        <w:rPr>
          <w:sz w:val="28"/>
          <w:szCs w:val="28"/>
        </w:rPr>
      </w:pPr>
    </w:p>
    <w:p w:rsidR="0025190E" w:rsidRDefault="0025190E" w:rsidP="0025190E">
      <w:pPr>
        <w:ind w:right="-6"/>
        <w:jc w:val="both"/>
        <w:rPr>
          <w:sz w:val="28"/>
          <w:szCs w:val="28"/>
        </w:rPr>
      </w:pPr>
    </w:p>
    <w:p w:rsidR="0025190E" w:rsidRPr="00F40C17" w:rsidRDefault="0025190E" w:rsidP="0025190E">
      <w:pPr>
        <w:jc w:val="both"/>
        <w:rPr>
          <w:sz w:val="28"/>
          <w:szCs w:val="28"/>
        </w:rPr>
      </w:pPr>
    </w:p>
    <w:p w:rsidR="0025190E" w:rsidRPr="00A90770" w:rsidRDefault="0025190E" w:rsidP="0025190E">
      <w:pPr>
        <w:jc w:val="both"/>
        <w:rPr>
          <w:sz w:val="26"/>
          <w:szCs w:val="26"/>
        </w:rPr>
      </w:pPr>
      <w:r w:rsidRPr="00A90770">
        <w:rPr>
          <w:sz w:val="26"/>
          <w:szCs w:val="26"/>
        </w:rPr>
        <w:t xml:space="preserve">Глава Еремеевского сельского поселения                     </w:t>
      </w:r>
      <w:r>
        <w:rPr>
          <w:sz w:val="26"/>
          <w:szCs w:val="26"/>
        </w:rPr>
        <w:t xml:space="preserve">                      </w:t>
      </w:r>
      <w:r w:rsidRPr="00A90770">
        <w:rPr>
          <w:sz w:val="26"/>
          <w:szCs w:val="26"/>
        </w:rPr>
        <w:t>К.Ц. Петросян</w:t>
      </w:r>
      <w:r w:rsidRPr="00A90770">
        <w:rPr>
          <w:sz w:val="26"/>
          <w:szCs w:val="26"/>
        </w:rPr>
        <w:tab/>
      </w:r>
    </w:p>
    <w:p w:rsidR="0025190E" w:rsidRPr="00A90770" w:rsidRDefault="0025190E" w:rsidP="0025190E">
      <w:pPr>
        <w:ind w:firstLine="900"/>
        <w:jc w:val="both"/>
        <w:rPr>
          <w:sz w:val="26"/>
          <w:szCs w:val="26"/>
        </w:rPr>
      </w:pPr>
    </w:p>
    <w:p w:rsidR="0025190E" w:rsidRPr="00A90770" w:rsidRDefault="0025190E" w:rsidP="0025190E">
      <w:pPr>
        <w:ind w:firstLine="900"/>
        <w:jc w:val="both"/>
        <w:rPr>
          <w:sz w:val="26"/>
          <w:szCs w:val="26"/>
        </w:rPr>
      </w:pPr>
    </w:p>
    <w:p w:rsidR="0025190E" w:rsidRPr="00A90770" w:rsidRDefault="0025190E" w:rsidP="0025190E">
      <w:pPr>
        <w:jc w:val="both"/>
        <w:rPr>
          <w:sz w:val="26"/>
          <w:szCs w:val="26"/>
        </w:rPr>
      </w:pPr>
      <w:r w:rsidRPr="00A90770">
        <w:rPr>
          <w:sz w:val="26"/>
          <w:szCs w:val="26"/>
        </w:rPr>
        <w:t>Председатель Совета</w:t>
      </w:r>
    </w:p>
    <w:p w:rsidR="0025190E" w:rsidRPr="006E1733" w:rsidRDefault="0025190E" w:rsidP="0025190E">
      <w:pPr>
        <w:rPr>
          <w:sz w:val="26"/>
          <w:szCs w:val="26"/>
        </w:rPr>
      </w:pPr>
      <w:r w:rsidRPr="00A90770">
        <w:rPr>
          <w:sz w:val="26"/>
          <w:szCs w:val="26"/>
        </w:rPr>
        <w:t xml:space="preserve">Еремеевского сельского поселения                   </w:t>
      </w:r>
      <w:r>
        <w:rPr>
          <w:sz w:val="26"/>
          <w:szCs w:val="26"/>
        </w:rPr>
        <w:t xml:space="preserve">                    </w:t>
      </w:r>
      <w:r w:rsidRPr="00A90770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</w:t>
      </w:r>
      <w:r w:rsidRPr="00A90770">
        <w:rPr>
          <w:sz w:val="26"/>
          <w:szCs w:val="26"/>
        </w:rPr>
        <w:t xml:space="preserve"> Т.М. Литвиненко</w:t>
      </w:r>
    </w:p>
    <w:p w:rsidR="0025190E" w:rsidRPr="006E1733" w:rsidRDefault="0025190E" w:rsidP="0025190E">
      <w:pPr>
        <w:jc w:val="both"/>
        <w:rPr>
          <w:sz w:val="26"/>
          <w:szCs w:val="26"/>
        </w:rPr>
      </w:pPr>
    </w:p>
    <w:p w:rsidR="0025190E" w:rsidRPr="002B4E76" w:rsidRDefault="0025190E" w:rsidP="0025190E">
      <w:pPr>
        <w:ind w:right="-6"/>
        <w:jc w:val="center"/>
        <w:rPr>
          <w:b/>
          <w:sz w:val="28"/>
          <w:szCs w:val="28"/>
        </w:rPr>
      </w:pPr>
    </w:p>
    <w:p w:rsidR="0025190E" w:rsidRPr="002B4E76" w:rsidRDefault="0025190E" w:rsidP="0025190E">
      <w:pPr>
        <w:ind w:right="-6"/>
        <w:jc w:val="center"/>
        <w:rPr>
          <w:b/>
          <w:sz w:val="28"/>
          <w:szCs w:val="28"/>
        </w:rPr>
      </w:pPr>
    </w:p>
    <w:p w:rsidR="0025190E" w:rsidRDefault="0025190E">
      <w:pPr>
        <w:jc w:val="center"/>
      </w:pPr>
    </w:p>
    <w:p w:rsidR="0025190E" w:rsidRDefault="0025190E">
      <w:pPr>
        <w:jc w:val="center"/>
      </w:pPr>
    </w:p>
    <w:p w:rsidR="0025190E" w:rsidRDefault="0025190E">
      <w:pPr>
        <w:jc w:val="center"/>
      </w:pPr>
    </w:p>
    <w:p w:rsidR="0025190E" w:rsidRDefault="0025190E">
      <w:pPr>
        <w:jc w:val="center"/>
      </w:pPr>
    </w:p>
    <w:p w:rsidR="0025190E" w:rsidRDefault="0025190E">
      <w:pPr>
        <w:jc w:val="center"/>
      </w:pPr>
    </w:p>
    <w:p w:rsidR="0025190E" w:rsidRDefault="0025190E">
      <w:pPr>
        <w:jc w:val="center"/>
      </w:pPr>
    </w:p>
    <w:p w:rsidR="0025190E" w:rsidRDefault="0025190E">
      <w:pPr>
        <w:jc w:val="center"/>
      </w:pPr>
    </w:p>
    <w:p w:rsidR="0025190E" w:rsidRDefault="0025190E">
      <w:pPr>
        <w:jc w:val="center"/>
      </w:pPr>
    </w:p>
    <w:p w:rsidR="0025190E" w:rsidRDefault="0025190E">
      <w:pPr>
        <w:jc w:val="center"/>
      </w:pPr>
    </w:p>
    <w:p w:rsidR="003D10F1" w:rsidRDefault="00A3790B">
      <w:pPr>
        <w:jc w:val="center"/>
      </w:pPr>
      <w:r>
        <w:rPr>
          <w:noProof/>
        </w:rPr>
        <w:lastRenderedPageBreak/>
        <w:drawing>
          <wp:inline distT="0" distB="0" distL="0" distR="0">
            <wp:extent cx="511810" cy="577850"/>
            <wp:effectExtent l="0" t="0" r="0" b="0"/>
            <wp:docPr id="1" name="Рисунок 1" descr="C:\Users\Баглай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Баглай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1087" t="9996" r="10921" b="25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10F1" w:rsidRDefault="00A3790B">
      <w:pPr>
        <w:contextualSpacing/>
        <w:jc w:val="center"/>
      </w:pPr>
      <w:r>
        <w:t>КОНТРОЛЬНО-СЧЕТНЫЙ ОРГАН</w:t>
      </w:r>
    </w:p>
    <w:p w:rsidR="003D10F1" w:rsidRDefault="00A3790B">
      <w:pPr>
        <w:contextualSpacing/>
        <w:jc w:val="center"/>
      </w:pPr>
      <w:r>
        <w:t>МУНИЦИПАЛЬНОГО ОБРАЗОВАНИЯ</w:t>
      </w:r>
    </w:p>
    <w:p w:rsidR="003D10F1" w:rsidRDefault="00A3790B">
      <w:pPr>
        <w:contextualSpacing/>
        <w:jc w:val="center"/>
      </w:pPr>
      <w:r>
        <w:t>«ПОЛТАВСКИЙ МУНИЦИПАЛЬНЫЙ РАЙОН ОМСКОЙ ОБЛАСТИ»</w:t>
      </w:r>
    </w:p>
    <w:p w:rsidR="003D10F1" w:rsidRDefault="003D10F1">
      <w:pPr>
        <w:contextualSpacing/>
        <w:jc w:val="center"/>
      </w:pPr>
    </w:p>
    <w:p w:rsidR="003D10F1" w:rsidRDefault="003D10F1">
      <w:pPr>
        <w:contextualSpacing/>
        <w:jc w:val="both"/>
      </w:pPr>
    </w:p>
    <w:p w:rsidR="003D10F1" w:rsidRDefault="00A3790B">
      <w:pPr>
        <w:contextualSpacing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ЗАКЛЮЧЕНИЕ № 8</w:t>
      </w:r>
    </w:p>
    <w:p w:rsidR="003D10F1" w:rsidRDefault="00A3790B">
      <w:pPr>
        <w:spacing w:after="200" w:line="276" w:lineRule="auto"/>
        <w:contextualSpacing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о результатах экспертно-аналитического мероприятия «Внешняя проверка годового отчета об исполнении бюджета муниципального образования </w:t>
      </w:r>
      <w:r>
        <w:rPr>
          <w:b/>
          <w:color w:val="333333"/>
        </w:rPr>
        <w:t>Еремеев</w:t>
      </w:r>
      <w:r>
        <w:rPr>
          <w:rFonts w:eastAsia="Calibri"/>
          <w:b/>
          <w:lang w:eastAsia="en-US"/>
        </w:rPr>
        <w:t>ское сельское поселение Полтавского муниципального района за 2024год».</w:t>
      </w:r>
    </w:p>
    <w:p w:rsidR="003D10F1" w:rsidRDefault="003D10F1">
      <w:pPr>
        <w:spacing w:after="200" w:line="276" w:lineRule="auto"/>
        <w:contextualSpacing/>
        <w:jc w:val="center"/>
        <w:rPr>
          <w:rFonts w:eastAsia="Calibri"/>
          <w:b/>
          <w:lang w:eastAsia="en-US"/>
        </w:rPr>
      </w:pPr>
    </w:p>
    <w:p w:rsidR="003D10F1" w:rsidRDefault="00A3790B">
      <w:pPr>
        <w:spacing w:after="200" w:line="276" w:lineRule="auto"/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23 марта 2025г</w:t>
      </w:r>
    </w:p>
    <w:p w:rsidR="003D10F1" w:rsidRDefault="00A3790B">
      <w:pPr>
        <w:ind w:firstLine="709"/>
        <w:jc w:val="both"/>
      </w:pPr>
      <w:r>
        <w:rPr>
          <w:b/>
          <w:bCs/>
          <w:i/>
          <w:iCs/>
          <w:color w:val="333333"/>
        </w:rPr>
        <w:t>Основание для проведения:</w:t>
      </w:r>
      <w:r>
        <w:rPr>
          <w:color w:val="333333"/>
        </w:rPr>
        <w:t xml:space="preserve"> статья 264.4 Бюджетного кодекса Российской Федерации, статья 21 Положения «О бюджетном процессе в  Еремеевском сельском поселении», утве</w:t>
      </w:r>
      <w:r>
        <w:rPr>
          <w:color w:val="333333"/>
        </w:rPr>
        <w:t>ржденного решением Совета  Еремеевского сельского поселения от 28.03.2013г. №8 (далее - Положение о бюджетном процессе), статья 8 Положения «О Контрольно-счетном органе муниципального образования «Полтавский муниципальный район Омской области», утвержденно</w:t>
      </w:r>
      <w:r>
        <w:rPr>
          <w:color w:val="333333"/>
        </w:rPr>
        <w:t>го решением Совета от 31.01.2022г. №3, пункт 2.7 плана работы Контрольно-счетного органа муниципального образования на 2025 год, Соглашение о передаче полномочий внешнего муниципального финансового контроля.</w:t>
      </w:r>
    </w:p>
    <w:p w:rsidR="003D10F1" w:rsidRDefault="00A3790B">
      <w:pPr>
        <w:ind w:firstLine="709"/>
        <w:jc w:val="both"/>
        <w:rPr>
          <w:color w:val="333333"/>
        </w:rPr>
      </w:pPr>
      <w:r>
        <w:rPr>
          <w:b/>
          <w:bCs/>
          <w:i/>
          <w:iCs/>
          <w:color w:val="333333"/>
        </w:rPr>
        <w:t xml:space="preserve">Цель проведения внешней проверки: </w:t>
      </w:r>
      <w:r>
        <w:rPr>
          <w:bCs/>
          <w:iCs/>
          <w:color w:val="333333"/>
        </w:rPr>
        <w:t>анализсоответс</w:t>
      </w:r>
      <w:r>
        <w:rPr>
          <w:bCs/>
          <w:iCs/>
          <w:color w:val="333333"/>
        </w:rPr>
        <w:t xml:space="preserve">твие годового отчета об исполнении бюджета </w:t>
      </w:r>
      <w:r>
        <w:rPr>
          <w:color w:val="333333"/>
        </w:rPr>
        <w:t>Еремеев</w:t>
      </w:r>
      <w:r>
        <w:rPr>
          <w:bCs/>
          <w:iCs/>
          <w:color w:val="333333"/>
        </w:rPr>
        <w:t>ского сельского поселения требованиям бюджетного законодательства, решению Совета муниципального образования «Еремеевское сельское поселение Полтавского муниципального района Омской области», инструкции «О</w:t>
      </w:r>
      <w:r>
        <w:rPr>
          <w:color w:val="333333"/>
        </w:rPr>
        <w:t xml:space="preserve"> </w:t>
      </w:r>
      <w:r>
        <w:rPr>
          <w:color w:val="333333"/>
        </w:rPr>
        <w:t>порядке составления и представления годовой, квартальной и месячной отчетности об исполнении бюджетов бюджетной системы Российской Федерации» от 28.12.2010г. №191н.</w:t>
      </w:r>
    </w:p>
    <w:p w:rsidR="003D10F1" w:rsidRDefault="00A3790B">
      <w:pPr>
        <w:ind w:firstLine="709"/>
        <w:jc w:val="both"/>
        <w:rPr>
          <w:color w:val="333333"/>
        </w:rPr>
      </w:pPr>
      <w:r>
        <w:rPr>
          <w:b/>
          <w:bCs/>
          <w:i/>
          <w:iCs/>
          <w:color w:val="333333"/>
        </w:rPr>
        <w:t>Предмет проверки:</w:t>
      </w:r>
      <w:r>
        <w:rPr>
          <w:color w:val="333333"/>
        </w:rPr>
        <w:t xml:space="preserve"> Отчет об исполнении местного бюджета.</w:t>
      </w:r>
    </w:p>
    <w:p w:rsidR="003D10F1" w:rsidRDefault="00A3790B">
      <w:pPr>
        <w:ind w:firstLine="709"/>
        <w:jc w:val="both"/>
      </w:pPr>
      <w:r>
        <w:rPr>
          <w:b/>
          <w:bCs/>
          <w:i/>
          <w:iCs/>
          <w:color w:val="333333"/>
        </w:rPr>
        <w:t xml:space="preserve">Проверяемый период: </w:t>
      </w:r>
      <w:r>
        <w:rPr>
          <w:color w:val="333333"/>
        </w:rPr>
        <w:t>2024 год.</w:t>
      </w:r>
    </w:p>
    <w:p w:rsidR="003D10F1" w:rsidRDefault="00A3790B">
      <w:pPr>
        <w:ind w:firstLine="709"/>
        <w:jc w:val="both"/>
      </w:pPr>
      <w:r>
        <w:rPr>
          <w:b/>
          <w:bCs/>
          <w:i/>
          <w:iCs/>
          <w:color w:val="333333"/>
        </w:rPr>
        <w:t>Объек</w:t>
      </w:r>
      <w:r>
        <w:rPr>
          <w:b/>
          <w:bCs/>
          <w:i/>
          <w:iCs/>
          <w:color w:val="333333"/>
        </w:rPr>
        <w:t xml:space="preserve">т проверки: </w:t>
      </w:r>
      <w:r>
        <w:rPr>
          <w:color w:val="333333"/>
        </w:rPr>
        <w:t>Еремеевское сельское поселение Полтавского муниципального района.</w:t>
      </w:r>
    </w:p>
    <w:p w:rsidR="003D10F1" w:rsidRDefault="00A3790B">
      <w:pPr>
        <w:ind w:firstLine="709"/>
        <w:jc w:val="both"/>
      </w:pPr>
      <w:r>
        <w:rPr>
          <w:b/>
          <w:bCs/>
          <w:i/>
          <w:iCs/>
          <w:color w:val="333333"/>
        </w:rPr>
        <w:t>Срок проведения проверки:</w:t>
      </w:r>
      <w:r>
        <w:rPr>
          <w:color w:val="333333"/>
        </w:rPr>
        <w:t xml:space="preserve"> с 23.03.2025г. по 23.03.2025г.</w:t>
      </w:r>
    </w:p>
    <w:p w:rsidR="003D10F1" w:rsidRDefault="003D10F1">
      <w:pPr>
        <w:spacing w:after="200" w:line="276" w:lineRule="auto"/>
        <w:contextualSpacing/>
        <w:jc w:val="both"/>
        <w:rPr>
          <w:rFonts w:eastAsia="Calibri"/>
          <w:lang w:eastAsia="en-US"/>
        </w:rPr>
      </w:pPr>
    </w:p>
    <w:p w:rsidR="003D10F1" w:rsidRDefault="00A3790B">
      <w:pPr>
        <w:numPr>
          <w:ilvl w:val="0"/>
          <w:numId w:val="1"/>
        </w:numPr>
        <w:spacing w:after="200" w:line="276" w:lineRule="auto"/>
        <w:ind w:left="0" w:firstLine="0"/>
        <w:contextualSpacing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Общие положения</w:t>
      </w:r>
    </w:p>
    <w:p w:rsidR="003D10F1" w:rsidRDefault="00A3790B"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Заключение на годовой отчет об исполнении бюджета </w:t>
      </w:r>
      <w:r>
        <w:rPr>
          <w:color w:val="333333"/>
        </w:rPr>
        <w:t>Еремеев</w:t>
      </w:r>
      <w:r>
        <w:rPr>
          <w:rFonts w:eastAsia="Calibri"/>
          <w:lang w:eastAsia="en-US"/>
        </w:rPr>
        <w:t>ского сельского поселения за 2024 год подготовл</w:t>
      </w:r>
      <w:r>
        <w:rPr>
          <w:rFonts w:eastAsia="Calibri"/>
          <w:lang w:eastAsia="en-US"/>
        </w:rPr>
        <w:t>ено Контрольно-счетным органом муниципального образования в соответствии с требованиями статьи 264.4 Бюджетного Кодекса Российской Федерации, Положения «О Контрольно-счетном органе муниципального образования «Полтавский муниципальный район Омской области».</w:t>
      </w:r>
    </w:p>
    <w:p w:rsidR="003D10F1" w:rsidRDefault="00A3790B">
      <w:pPr>
        <w:ind w:firstLine="709"/>
        <w:jc w:val="both"/>
      </w:pPr>
      <w:r>
        <w:t>Заключение подготовлено на основании результатов проверки годовой бюджетной отчетности за 2024 год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</w:t>
      </w:r>
      <w:r>
        <w:t>вного администратора, администратора доходов бюджета, анализа основных показателей исполнения бюджета Еремеевского сельского поселения (Заключение № 7 от 23.03.2025г).</w:t>
      </w:r>
    </w:p>
    <w:p w:rsidR="003D10F1" w:rsidRDefault="00A3790B">
      <w:pPr>
        <w:ind w:firstLine="709"/>
        <w:jc w:val="both"/>
      </w:pPr>
      <w:r>
        <w:t xml:space="preserve">Согласно статьи 264.4 БК РФ годовой отчет об исполнении бюджета до его рассмотрения в </w:t>
      </w:r>
      <w:r>
        <w:t>законодательном (представительном) органе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</w:p>
    <w:p w:rsidR="003D10F1" w:rsidRDefault="00A3790B">
      <w:pPr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Годовой отчет об исполнени</w:t>
      </w:r>
      <w:r>
        <w:rPr>
          <w:rFonts w:eastAsia="Calibri"/>
          <w:lang w:eastAsia="en-US"/>
        </w:rPr>
        <w:t xml:space="preserve">и бюджета </w:t>
      </w:r>
      <w:r>
        <w:rPr>
          <w:color w:val="333333"/>
        </w:rPr>
        <w:t>Еремеев</w:t>
      </w:r>
      <w:r>
        <w:rPr>
          <w:rFonts w:eastAsia="Calibri"/>
          <w:lang w:eastAsia="en-US"/>
        </w:rPr>
        <w:t>ского сельского поселения за 2024 год (далее – бюджет поселения) поступил в Контрольно-счетный орган муниципального образования «Полтавский муниципальный район Омской области» (далее Контрольно-счетный орган) в срок до 01 апреля, на бумажн</w:t>
      </w:r>
      <w:r>
        <w:rPr>
          <w:rFonts w:eastAsia="Calibri"/>
          <w:lang w:eastAsia="en-US"/>
        </w:rPr>
        <w:t>ом носителе, согласно п. 3 ст. 264.4 Бюджетного Кодекса Российской Федерации, ст.21 Положения о бюджетном процессе в Еремеевском сельском поселении.</w:t>
      </w:r>
    </w:p>
    <w:p w:rsidR="003D10F1" w:rsidRDefault="00A3790B">
      <w:pPr>
        <w:ind w:firstLine="709"/>
        <w:jc w:val="both"/>
      </w:pPr>
      <w:r>
        <w:t>Вместе с годовым отчетом об исполнении бюджета представлен проект решения Совета об исполнении бюджета с пр</w:t>
      </w:r>
      <w:r>
        <w:t>иложениями, который  соответствует требованиям ст.264.6 БК РФ.</w:t>
      </w:r>
    </w:p>
    <w:p w:rsidR="003D10F1" w:rsidRDefault="003D10F1">
      <w:pPr>
        <w:widowControl w:val="0"/>
        <w:ind w:right="-1"/>
        <w:jc w:val="both"/>
      </w:pPr>
    </w:p>
    <w:p w:rsidR="003D10F1" w:rsidRDefault="00A3790B">
      <w:pPr>
        <w:widowControl w:val="0"/>
        <w:ind w:left="567" w:right="-1"/>
        <w:jc w:val="center"/>
        <w:rPr>
          <w:b/>
        </w:rPr>
      </w:pPr>
      <w:r>
        <w:rPr>
          <w:b/>
        </w:rPr>
        <w:t xml:space="preserve">2. Анализ исполнения основных характеристик бюджета </w:t>
      </w:r>
      <w:r>
        <w:rPr>
          <w:b/>
          <w:color w:val="333333"/>
        </w:rPr>
        <w:t>Еремеев</w:t>
      </w:r>
      <w:r>
        <w:rPr>
          <w:b/>
        </w:rPr>
        <w:t>ского сельского поселения в 2024 году.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Совета депутатов </w:t>
      </w:r>
      <w:r>
        <w:rPr>
          <w:rFonts w:ascii="Times New Roman" w:hAnsi="Times New Roman"/>
          <w:color w:val="333333"/>
          <w:sz w:val="24"/>
          <w:szCs w:val="24"/>
        </w:rPr>
        <w:t>Еремеев</w:t>
      </w:r>
      <w:r>
        <w:rPr>
          <w:rFonts w:ascii="Times New Roman" w:hAnsi="Times New Roman"/>
          <w:sz w:val="24"/>
          <w:szCs w:val="24"/>
        </w:rPr>
        <w:t xml:space="preserve">ского сельского поселения от 05.12.2023г. № 57 «О бюджете </w:t>
      </w:r>
      <w:r>
        <w:rPr>
          <w:rFonts w:ascii="Times New Roman" w:hAnsi="Times New Roman"/>
          <w:sz w:val="24"/>
          <w:szCs w:val="24"/>
        </w:rPr>
        <w:t>сельского поселения на 2024 год и на плановый период 2025 и 2026 годов» утверждены основные характеристики бюджета на 2024 год: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-Прогнозный общий объем доходов поселения в сумме </w:t>
      </w:r>
      <w:bookmarkStart w:id="0" w:name="OLE_LINK1"/>
      <w:bookmarkStart w:id="1" w:name="OLE_LINK2"/>
      <w:bookmarkEnd w:id="0"/>
      <w:bookmarkEnd w:id="1"/>
      <w:r>
        <w:rPr>
          <w:rFonts w:ascii="Times New Roman" w:hAnsi="Times New Roman"/>
          <w:sz w:val="24"/>
          <w:szCs w:val="24"/>
        </w:rPr>
        <w:t>12 628 620,79 рублей;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-Общий объем расходов бюджета поселения в сумме 12 628 6</w:t>
      </w:r>
      <w:r>
        <w:rPr>
          <w:rFonts w:ascii="Times New Roman" w:hAnsi="Times New Roman"/>
          <w:sz w:val="24"/>
          <w:szCs w:val="24"/>
        </w:rPr>
        <w:t>20,79 рублей.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Дефицит (профицит) бюджета равен нулю.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исполнения бюджета поселения параметры бюджета поселения изменены в сторону увеличения по доходам на сумму 10 811 555,99 рублей, в сторону увеличения по расходам на 12 593 368,49 рублей.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оконч</w:t>
      </w:r>
      <w:r>
        <w:rPr>
          <w:rFonts w:ascii="Times New Roman" w:hAnsi="Times New Roman"/>
          <w:sz w:val="24"/>
          <w:szCs w:val="24"/>
        </w:rPr>
        <w:t xml:space="preserve">ательной редакции с учетом изменений и дополнений, внесенных решениями Совета депутатов </w:t>
      </w:r>
      <w:r>
        <w:rPr>
          <w:rFonts w:ascii="Times New Roman" w:hAnsi="Times New Roman"/>
          <w:color w:val="333333"/>
          <w:sz w:val="24"/>
          <w:szCs w:val="24"/>
        </w:rPr>
        <w:t>Еремеев</w:t>
      </w:r>
      <w:r>
        <w:rPr>
          <w:rFonts w:ascii="Times New Roman" w:hAnsi="Times New Roman"/>
          <w:sz w:val="24"/>
          <w:szCs w:val="24"/>
        </w:rPr>
        <w:t>ского сельского поселения от 27.12.2024г. № 51 «О внесении изменений и дополнений в решение Совета от 05.12.2023 г. № 57» утверждены: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-Прогнозируемый общий объем</w:t>
      </w:r>
      <w:r>
        <w:rPr>
          <w:rFonts w:ascii="Times New Roman" w:hAnsi="Times New Roman"/>
          <w:sz w:val="24"/>
          <w:szCs w:val="24"/>
        </w:rPr>
        <w:t xml:space="preserve"> доходов бюджета поселения в сумме 23 440 176,78 рублей;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-Общий объем расходов бюджета поселения в сумме 25 221 989,28 рублей.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-Прогнозируемый дефицит бюджета поселения 1 781 812,50 рублей.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Фактическое исполнение бюджета поселения по данным ф.0503117, Прое</w:t>
      </w:r>
      <w:r>
        <w:rPr>
          <w:rFonts w:ascii="Times New Roman" w:hAnsi="Times New Roman"/>
          <w:sz w:val="24"/>
          <w:szCs w:val="24"/>
        </w:rPr>
        <w:t>кта решения об исполнении бюджета за 2024 год по доходам составило 22 987 697,04 рублей (98,07% уточненного плана), по расходам 24 951 298,56 (98,93% от уточненного плана).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характеристики бюджета поселения на 2024 год отражены в таблице.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>Таблица 1</w:t>
      </w:r>
    </w:p>
    <w:tbl>
      <w:tblPr>
        <w:tblStyle w:val="af4"/>
        <w:tblW w:w="9570" w:type="dxa"/>
        <w:tblInd w:w="226" w:type="dxa"/>
        <w:tblLayout w:type="fixed"/>
        <w:tblLook w:val="04A0"/>
      </w:tblPr>
      <w:tblGrid>
        <w:gridCol w:w="2396"/>
        <w:gridCol w:w="2390"/>
        <w:gridCol w:w="2395"/>
        <w:gridCol w:w="2389"/>
      </w:tblGrid>
      <w:tr w:rsidR="003D10F1">
        <w:tc>
          <w:tcPr>
            <w:tcW w:w="2395" w:type="dxa"/>
          </w:tcPr>
          <w:p w:rsidR="003D10F1" w:rsidRDefault="00A3790B">
            <w:pPr>
              <w:widowControl w:val="0"/>
              <w:ind w:firstLine="709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90" w:type="dxa"/>
          </w:tcPr>
          <w:p w:rsidR="003D10F1" w:rsidRDefault="00A3790B">
            <w:pPr>
              <w:widowControl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 решением о бюджете на 2024 год (в редакции от 27.12.2024 № 51), рублей</w:t>
            </w:r>
          </w:p>
        </w:tc>
        <w:tc>
          <w:tcPr>
            <w:tcW w:w="2395" w:type="dxa"/>
          </w:tcPr>
          <w:p w:rsidR="003D10F1" w:rsidRDefault="00A3790B">
            <w:pPr>
              <w:widowControl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Исполнено,</w:t>
            </w:r>
          </w:p>
          <w:p w:rsidR="003D10F1" w:rsidRDefault="00A3790B">
            <w:pPr>
              <w:widowControl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решения об исполнении бюджета за 2024год</w:t>
            </w:r>
          </w:p>
        </w:tc>
        <w:tc>
          <w:tcPr>
            <w:tcW w:w="2389" w:type="dxa"/>
          </w:tcPr>
          <w:p w:rsidR="003D10F1" w:rsidRDefault="00A3790B">
            <w:pPr>
              <w:widowControl w:val="0"/>
              <w:ind w:firstLine="709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исполнения, %</w:t>
            </w:r>
          </w:p>
        </w:tc>
      </w:tr>
      <w:tr w:rsidR="003D10F1">
        <w:tc>
          <w:tcPr>
            <w:tcW w:w="2395" w:type="dxa"/>
          </w:tcPr>
          <w:p w:rsidR="003D10F1" w:rsidRDefault="00A3790B">
            <w:pPr>
              <w:widowControl w:val="0"/>
              <w:spacing w:line="360" w:lineRule="atLeast"/>
              <w:jc w:val="both"/>
              <w:textAlignment w:val="baseline"/>
              <w:rPr>
                <w:b/>
                <w:color w:val="444444"/>
                <w:sz w:val="20"/>
                <w:szCs w:val="20"/>
              </w:rPr>
            </w:pPr>
            <w:r>
              <w:rPr>
                <w:b/>
                <w:color w:val="444444"/>
                <w:sz w:val="20"/>
                <w:szCs w:val="20"/>
              </w:rPr>
              <w:t>Доход</w:t>
            </w:r>
          </w:p>
        </w:tc>
        <w:tc>
          <w:tcPr>
            <w:tcW w:w="2390" w:type="dxa"/>
          </w:tcPr>
          <w:p w:rsidR="003D10F1" w:rsidRDefault="00A3790B">
            <w:pPr>
              <w:widowControl w:val="0"/>
              <w:spacing w:line="360" w:lineRule="atLeast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23 440 173,78</w:t>
            </w:r>
          </w:p>
        </w:tc>
        <w:tc>
          <w:tcPr>
            <w:tcW w:w="2395" w:type="dxa"/>
          </w:tcPr>
          <w:p w:rsidR="003D10F1" w:rsidRDefault="00A3790B">
            <w:pPr>
              <w:widowControl w:val="0"/>
              <w:spacing w:line="360" w:lineRule="atLeast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</w:rPr>
              <w:t>22 987 697,04</w:t>
            </w:r>
          </w:p>
        </w:tc>
        <w:tc>
          <w:tcPr>
            <w:tcW w:w="2389" w:type="dxa"/>
          </w:tcPr>
          <w:p w:rsidR="003D10F1" w:rsidRDefault="00A3790B">
            <w:pPr>
              <w:widowControl w:val="0"/>
              <w:spacing w:line="360" w:lineRule="atLeast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</w:rPr>
              <w:t>98,07</w:t>
            </w:r>
          </w:p>
        </w:tc>
      </w:tr>
      <w:tr w:rsidR="003D10F1">
        <w:tc>
          <w:tcPr>
            <w:tcW w:w="2395" w:type="dxa"/>
          </w:tcPr>
          <w:p w:rsidR="003D10F1" w:rsidRDefault="00A3790B">
            <w:pPr>
              <w:widowControl w:val="0"/>
              <w:spacing w:line="360" w:lineRule="atLeast"/>
              <w:jc w:val="both"/>
              <w:textAlignment w:val="baseline"/>
              <w:rPr>
                <w:b/>
                <w:color w:val="444444"/>
                <w:sz w:val="20"/>
                <w:szCs w:val="20"/>
              </w:rPr>
            </w:pPr>
            <w:r>
              <w:rPr>
                <w:b/>
                <w:color w:val="444444"/>
                <w:sz w:val="20"/>
                <w:szCs w:val="20"/>
              </w:rPr>
              <w:t>Расходы</w:t>
            </w:r>
          </w:p>
        </w:tc>
        <w:tc>
          <w:tcPr>
            <w:tcW w:w="2390" w:type="dxa"/>
          </w:tcPr>
          <w:p w:rsidR="003D10F1" w:rsidRDefault="00A3790B">
            <w:pPr>
              <w:widowControl w:val="0"/>
              <w:spacing w:line="360" w:lineRule="atLeast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25 221 989,28</w:t>
            </w:r>
          </w:p>
        </w:tc>
        <w:tc>
          <w:tcPr>
            <w:tcW w:w="2395" w:type="dxa"/>
          </w:tcPr>
          <w:p w:rsidR="003D10F1" w:rsidRDefault="00A3790B">
            <w:pPr>
              <w:widowControl w:val="0"/>
              <w:spacing w:line="360" w:lineRule="atLeast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</w:rPr>
              <w:t>24 951 298,56</w:t>
            </w:r>
          </w:p>
        </w:tc>
        <w:tc>
          <w:tcPr>
            <w:tcW w:w="2389" w:type="dxa"/>
          </w:tcPr>
          <w:p w:rsidR="003D10F1" w:rsidRDefault="00A3790B">
            <w:pPr>
              <w:widowControl w:val="0"/>
              <w:spacing w:line="360" w:lineRule="atLeast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</w:rPr>
              <w:t>98,93</w:t>
            </w:r>
          </w:p>
        </w:tc>
      </w:tr>
      <w:tr w:rsidR="003D10F1">
        <w:tc>
          <w:tcPr>
            <w:tcW w:w="2395" w:type="dxa"/>
          </w:tcPr>
          <w:p w:rsidR="003D10F1" w:rsidRDefault="00A3790B">
            <w:pPr>
              <w:widowControl w:val="0"/>
              <w:spacing w:line="360" w:lineRule="atLeast"/>
              <w:jc w:val="both"/>
              <w:textAlignment w:val="baseline"/>
              <w:rPr>
                <w:b/>
                <w:color w:val="444444"/>
                <w:sz w:val="20"/>
                <w:szCs w:val="20"/>
              </w:rPr>
            </w:pPr>
            <w:r>
              <w:rPr>
                <w:b/>
                <w:color w:val="444444"/>
                <w:sz w:val="20"/>
                <w:szCs w:val="20"/>
              </w:rPr>
              <w:t>Дефицит (-)/ профицит (+)</w:t>
            </w:r>
          </w:p>
        </w:tc>
        <w:tc>
          <w:tcPr>
            <w:tcW w:w="2390" w:type="dxa"/>
          </w:tcPr>
          <w:p w:rsidR="003D10F1" w:rsidRDefault="00A3790B">
            <w:pPr>
              <w:widowControl w:val="0"/>
              <w:spacing w:line="360" w:lineRule="atLeast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-1 781 812,50</w:t>
            </w:r>
          </w:p>
        </w:tc>
        <w:tc>
          <w:tcPr>
            <w:tcW w:w="2395" w:type="dxa"/>
          </w:tcPr>
          <w:p w:rsidR="003D10F1" w:rsidRDefault="00A3790B">
            <w:pPr>
              <w:widowControl w:val="0"/>
              <w:spacing w:line="360" w:lineRule="atLeast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</w:rPr>
              <w:t>-1 963 601,52</w:t>
            </w:r>
          </w:p>
        </w:tc>
        <w:tc>
          <w:tcPr>
            <w:tcW w:w="2389" w:type="dxa"/>
          </w:tcPr>
          <w:p w:rsidR="003D10F1" w:rsidRDefault="00A3790B">
            <w:pPr>
              <w:widowControl w:val="0"/>
              <w:spacing w:line="360" w:lineRule="atLeast"/>
              <w:jc w:val="both"/>
              <w:textAlignment w:val="baseline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</w:rPr>
              <w:t>Х</w:t>
            </w:r>
          </w:p>
        </w:tc>
      </w:tr>
    </w:tbl>
    <w:p w:rsidR="003D10F1" w:rsidRDefault="003D10F1">
      <w:pPr>
        <w:pStyle w:val="ac"/>
        <w:widowControl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3D10F1" w:rsidRDefault="00A3790B">
      <w:pPr>
        <w:pStyle w:val="ac"/>
        <w:widowControl w:val="0"/>
        <w:numPr>
          <w:ilvl w:val="0"/>
          <w:numId w:val="2"/>
        </w:numPr>
        <w:spacing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Исполнение доходной части бюджета поселения за 2024 год.</w:t>
      </w:r>
    </w:p>
    <w:p w:rsidR="003D10F1" w:rsidRDefault="00A3790B">
      <w:pPr>
        <w:pStyle w:val="ac"/>
        <w:widowControl w:val="0"/>
        <w:spacing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Поступление всех источников доходной части бюджета исполнено в сумме 22 987 697,04 рублей или </w:t>
      </w:r>
      <w:r>
        <w:rPr>
          <w:rFonts w:ascii="Times New Roman" w:hAnsi="Times New Roman"/>
          <w:sz w:val="24"/>
          <w:szCs w:val="24"/>
        </w:rPr>
        <w:t>98,07%.</w:t>
      </w:r>
    </w:p>
    <w:p w:rsidR="003D10F1" w:rsidRDefault="00A3790B">
      <w:pPr>
        <w:pStyle w:val="ac"/>
        <w:widowControl w:val="0"/>
        <w:spacing w:line="240" w:lineRule="auto"/>
        <w:ind w:left="0" w:right="-1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Прогнозные значения по группе доходов «Налоговые и неналоговые доходы» в целом выполнены на 102,15% или в сумме 5 127 277,94  рублей (доля в структуре доходов 22,30%), безвозмездные поступления имеют долю 65,98% в структуре доходов, исполнение в об</w:t>
      </w:r>
      <w:r>
        <w:rPr>
          <w:rFonts w:ascii="Times New Roman" w:hAnsi="Times New Roman"/>
          <w:sz w:val="24"/>
          <w:szCs w:val="24"/>
        </w:rPr>
        <w:t xml:space="preserve">ъеме прогнозного значения или в сумме 15 167 669,29%. 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Исполнение и структура доходной части бюджета за 2024 год по основным источникам поступлений представлена в таблице:                                                   Таблица 2.</w:t>
      </w:r>
    </w:p>
    <w:tbl>
      <w:tblPr>
        <w:tblStyle w:val="af4"/>
        <w:tblW w:w="9604" w:type="dxa"/>
        <w:tblInd w:w="192" w:type="dxa"/>
        <w:tblLayout w:type="fixed"/>
        <w:tblLook w:val="04A0"/>
      </w:tblPr>
      <w:tblGrid>
        <w:gridCol w:w="3513"/>
        <w:gridCol w:w="1555"/>
        <w:gridCol w:w="1577"/>
        <w:gridCol w:w="1428"/>
        <w:gridCol w:w="1531"/>
      </w:tblGrid>
      <w:tr w:rsidR="003D10F1"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555" w:type="dxa"/>
          </w:tcPr>
          <w:p w:rsidR="003D10F1" w:rsidRDefault="00A3790B">
            <w:pPr>
              <w:widowControl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</w:rPr>
              <w:t>Утверждено решением о бюджете на 2024 год (в редакции от 27.12.2024г. № 51), рублей</w:t>
            </w:r>
          </w:p>
        </w:tc>
        <w:tc>
          <w:tcPr>
            <w:tcW w:w="1577" w:type="dxa"/>
          </w:tcPr>
          <w:p w:rsidR="003D10F1" w:rsidRDefault="00A3790B">
            <w:pPr>
              <w:widowControl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</w:rPr>
              <w:t>Исполнено,</w:t>
            </w:r>
          </w:p>
          <w:p w:rsidR="003D10F1" w:rsidRDefault="00A3790B">
            <w:pPr>
              <w:widowControl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</w:rPr>
              <w:t>Проект решения об исполнении бюджета за 2024 год</w:t>
            </w:r>
          </w:p>
        </w:tc>
        <w:tc>
          <w:tcPr>
            <w:tcW w:w="1428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 исполнения, %</w:t>
            </w:r>
          </w:p>
        </w:tc>
        <w:tc>
          <w:tcPr>
            <w:tcW w:w="1531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Удельный вес,</w:t>
            </w:r>
          </w:p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общем объеме доходов, %</w:t>
            </w:r>
          </w:p>
        </w:tc>
      </w:tr>
      <w:tr w:rsidR="003D10F1"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Налоговые и неналоговые доходы всего, в том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числе:</w:t>
            </w:r>
          </w:p>
        </w:tc>
        <w:tc>
          <w:tcPr>
            <w:tcW w:w="1555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8 272 507,49</w:t>
            </w:r>
          </w:p>
        </w:tc>
        <w:tc>
          <w:tcPr>
            <w:tcW w:w="1577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7 820 027,75</w:t>
            </w:r>
          </w:p>
        </w:tc>
        <w:tc>
          <w:tcPr>
            <w:tcW w:w="1428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94,53</w:t>
            </w:r>
          </w:p>
        </w:tc>
        <w:tc>
          <w:tcPr>
            <w:tcW w:w="1531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34,02</w:t>
            </w:r>
          </w:p>
        </w:tc>
      </w:tr>
      <w:tr w:rsidR="003D10F1"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Налоговые доходы всего, из них:</w:t>
            </w:r>
          </w:p>
        </w:tc>
        <w:tc>
          <w:tcPr>
            <w:tcW w:w="1555" w:type="dxa"/>
          </w:tcPr>
          <w:p w:rsidR="003D10F1" w:rsidRDefault="00A3790B">
            <w:pPr>
              <w:widowControl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5 019 486,32</w:t>
            </w:r>
          </w:p>
        </w:tc>
        <w:tc>
          <w:tcPr>
            <w:tcW w:w="1577" w:type="dxa"/>
          </w:tcPr>
          <w:p w:rsidR="003D10F1" w:rsidRDefault="00A3790B">
            <w:pPr>
              <w:widowControl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5 127 277,94</w:t>
            </w:r>
          </w:p>
        </w:tc>
        <w:tc>
          <w:tcPr>
            <w:tcW w:w="1428" w:type="dxa"/>
          </w:tcPr>
          <w:p w:rsidR="003D10F1" w:rsidRDefault="00A3790B">
            <w:pPr>
              <w:widowControl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102,15</w:t>
            </w:r>
          </w:p>
        </w:tc>
        <w:tc>
          <w:tcPr>
            <w:tcW w:w="1531" w:type="dxa"/>
          </w:tcPr>
          <w:p w:rsidR="003D10F1" w:rsidRDefault="00A3790B">
            <w:pPr>
              <w:widowControl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22,30</w:t>
            </w:r>
          </w:p>
        </w:tc>
      </w:tr>
      <w:tr w:rsidR="003D10F1">
        <w:trPr>
          <w:trHeight w:val="600"/>
        </w:trPr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55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313 857,26</w:t>
            </w:r>
          </w:p>
        </w:tc>
        <w:tc>
          <w:tcPr>
            <w:tcW w:w="1577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336 811,85</w:t>
            </w:r>
          </w:p>
        </w:tc>
        <w:tc>
          <w:tcPr>
            <w:tcW w:w="1428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107,31</w:t>
            </w:r>
          </w:p>
        </w:tc>
        <w:tc>
          <w:tcPr>
            <w:tcW w:w="1531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1,46</w:t>
            </w:r>
          </w:p>
        </w:tc>
      </w:tr>
      <w:tr w:rsidR="003D10F1"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Налоги на товары (работы, услуги) реализуемые на территории РФ</w:t>
            </w:r>
          </w:p>
        </w:tc>
        <w:tc>
          <w:tcPr>
            <w:tcW w:w="1555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2 006 100,00</w:t>
            </w:r>
          </w:p>
        </w:tc>
        <w:tc>
          <w:tcPr>
            <w:tcW w:w="1577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2 151 892,34</w:t>
            </w:r>
          </w:p>
        </w:tc>
        <w:tc>
          <w:tcPr>
            <w:tcW w:w="1428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107,27</w:t>
            </w:r>
          </w:p>
        </w:tc>
        <w:tc>
          <w:tcPr>
            <w:tcW w:w="1531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9,36</w:t>
            </w:r>
          </w:p>
        </w:tc>
      </w:tr>
      <w:tr w:rsidR="003D10F1"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55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77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-88 238,50</w:t>
            </w:r>
          </w:p>
        </w:tc>
        <w:tc>
          <w:tcPr>
            <w:tcW w:w="1428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-0,38</w:t>
            </w:r>
          </w:p>
        </w:tc>
      </w:tr>
      <w:tr w:rsidR="003D10F1"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Налог на имущество</w:t>
            </w:r>
          </w:p>
        </w:tc>
        <w:tc>
          <w:tcPr>
            <w:tcW w:w="1555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2 695 329,06</w:t>
            </w:r>
          </w:p>
        </w:tc>
        <w:tc>
          <w:tcPr>
            <w:tcW w:w="1577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2 722 612,25</w:t>
            </w:r>
          </w:p>
        </w:tc>
        <w:tc>
          <w:tcPr>
            <w:tcW w:w="1428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101,01</w:t>
            </w:r>
          </w:p>
        </w:tc>
        <w:tc>
          <w:tcPr>
            <w:tcW w:w="1531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11,84</w:t>
            </w:r>
          </w:p>
        </w:tc>
      </w:tr>
      <w:tr w:rsidR="003D10F1"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5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4 200,00</w:t>
            </w:r>
          </w:p>
        </w:tc>
        <w:tc>
          <w:tcPr>
            <w:tcW w:w="1577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4 200,00</w:t>
            </w:r>
          </w:p>
        </w:tc>
        <w:tc>
          <w:tcPr>
            <w:tcW w:w="1428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531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</w:tr>
      <w:tr w:rsidR="003D10F1"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Неналоговые доходы всего, из них:</w:t>
            </w:r>
          </w:p>
        </w:tc>
        <w:tc>
          <w:tcPr>
            <w:tcW w:w="1555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3 253 021,17</w:t>
            </w:r>
          </w:p>
        </w:tc>
        <w:tc>
          <w:tcPr>
            <w:tcW w:w="1577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2 692 749,81</w:t>
            </w:r>
          </w:p>
        </w:tc>
        <w:tc>
          <w:tcPr>
            <w:tcW w:w="1428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82,78</w:t>
            </w:r>
          </w:p>
        </w:tc>
        <w:tc>
          <w:tcPr>
            <w:tcW w:w="1531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11,72</w:t>
            </w:r>
          </w:p>
        </w:tc>
      </w:tr>
      <w:tr w:rsidR="003D10F1"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1555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2 226 332,04</w:t>
            </w:r>
          </w:p>
        </w:tc>
        <w:tc>
          <w:tcPr>
            <w:tcW w:w="1577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1 666 060,68</w:t>
            </w:r>
          </w:p>
        </w:tc>
        <w:tc>
          <w:tcPr>
            <w:tcW w:w="1428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74,83</w:t>
            </w:r>
          </w:p>
        </w:tc>
        <w:tc>
          <w:tcPr>
            <w:tcW w:w="1531" w:type="dxa"/>
          </w:tcPr>
          <w:p w:rsidR="003D10F1" w:rsidRDefault="00A3790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7,25</w:t>
            </w:r>
          </w:p>
        </w:tc>
      </w:tr>
      <w:tr w:rsidR="003D10F1">
        <w:trPr>
          <w:trHeight w:val="414"/>
        </w:trPr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5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746 951,05</w:t>
            </w:r>
          </w:p>
        </w:tc>
        <w:tc>
          <w:tcPr>
            <w:tcW w:w="1577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746 951,05</w:t>
            </w:r>
          </w:p>
        </w:tc>
        <w:tc>
          <w:tcPr>
            <w:tcW w:w="1428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531" w:type="dxa"/>
          </w:tcPr>
          <w:p w:rsidR="003D10F1" w:rsidRDefault="00A3790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3,25</w:t>
            </w:r>
          </w:p>
        </w:tc>
      </w:tr>
      <w:tr w:rsidR="003D10F1">
        <w:trPr>
          <w:trHeight w:val="414"/>
        </w:trPr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Штрафы, </w:t>
            </w:r>
            <w:r>
              <w:rPr>
                <w:rFonts w:ascii="Times New Roman" w:hAnsi="Times New Roman"/>
                <w:sz w:val="20"/>
                <w:szCs w:val="20"/>
              </w:rPr>
              <w:t>санкции, возмещение ущерба</w:t>
            </w:r>
          </w:p>
        </w:tc>
        <w:tc>
          <w:tcPr>
            <w:tcW w:w="1555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169 538,08</w:t>
            </w:r>
          </w:p>
        </w:tc>
        <w:tc>
          <w:tcPr>
            <w:tcW w:w="1577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169 538,08</w:t>
            </w:r>
          </w:p>
        </w:tc>
        <w:tc>
          <w:tcPr>
            <w:tcW w:w="1428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531" w:type="dxa"/>
          </w:tcPr>
          <w:p w:rsidR="003D10F1" w:rsidRDefault="00A3790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</w:t>
            </w:r>
          </w:p>
        </w:tc>
      </w:tr>
      <w:tr w:rsidR="003D10F1">
        <w:trPr>
          <w:trHeight w:val="414"/>
        </w:trPr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неналоговые платежи</w:t>
            </w:r>
          </w:p>
        </w:tc>
        <w:tc>
          <w:tcPr>
            <w:tcW w:w="1555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110 200,00</w:t>
            </w:r>
          </w:p>
        </w:tc>
        <w:tc>
          <w:tcPr>
            <w:tcW w:w="1577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110 200,00</w:t>
            </w:r>
          </w:p>
        </w:tc>
        <w:tc>
          <w:tcPr>
            <w:tcW w:w="1428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531" w:type="dxa"/>
          </w:tcPr>
          <w:p w:rsidR="003D10F1" w:rsidRDefault="00A3790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</w:tr>
      <w:tr w:rsidR="003D10F1">
        <w:trPr>
          <w:trHeight w:val="414"/>
        </w:trPr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Безвозмездные поступления в том числе:</w:t>
            </w:r>
          </w:p>
        </w:tc>
        <w:tc>
          <w:tcPr>
            <w:tcW w:w="1555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15 167 669,29</w:t>
            </w:r>
          </w:p>
        </w:tc>
        <w:tc>
          <w:tcPr>
            <w:tcW w:w="1577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15 167 669,29</w:t>
            </w:r>
          </w:p>
        </w:tc>
        <w:tc>
          <w:tcPr>
            <w:tcW w:w="1428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531" w:type="dxa"/>
          </w:tcPr>
          <w:p w:rsidR="003D10F1" w:rsidRDefault="00A3790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65,98</w:t>
            </w:r>
          </w:p>
        </w:tc>
      </w:tr>
      <w:tr w:rsidR="003D10F1"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выравнивание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бюджетной обеспеченности</w:t>
            </w:r>
          </w:p>
        </w:tc>
        <w:tc>
          <w:tcPr>
            <w:tcW w:w="1555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3 551 571,79</w:t>
            </w:r>
          </w:p>
        </w:tc>
        <w:tc>
          <w:tcPr>
            <w:tcW w:w="1577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3 551 571,79</w:t>
            </w:r>
          </w:p>
        </w:tc>
        <w:tc>
          <w:tcPr>
            <w:tcW w:w="1428" w:type="dxa"/>
          </w:tcPr>
          <w:p w:rsidR="003D10F1" w:rsidRDefault="00A3790B">
            <w:pPr>
              <w:widowControl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531" w:type="dxa"/>
          </w:tcPr>
          <w:p w:rsidR="003D10F1" w:rsidRDefault="00A3790B">
            <w:pPr>
              <w:widowControl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15,45</w:t>
            </w:r>
          </w:p>
        </w:tc>
      </w:tr>
      <w:tr w:rsidR="003D10F1"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развитие транспортной инфраструктуры на сельских территориях</w:t>
            </w:r>
          </w:p>
        </w:tc>
        <w:tc>
          <w:tcPr>
            <w:tcW w:w="1555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8 700 000,00</w:t>
            </w:r>
          </w:p>
        </w:tc>
        <w:tc>
          <w:tcPr>
            <w:tcW w:w="1577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8 700 000,00</w:t>
            </w:r>
          </w:p>
        </w:tc>
        <w:tc>
          <w:tcPr>
            <w:tcW w:w="1428" w:type="dxa"/>
          </w:tcPr>
          <w:p w:rsidR="003D10F1" w:rsidRDefault="00A3790B">
            <w:pPr>
              <w:widowControl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531" w:type="dxa"/>
          </w:tcPr>
          <w:p w:rsidR="003D10F1" w:rsidRDefault="00A3790B">
            <w:pPr>
              <w:widowControl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37,85</w:t>
            </w:r>
          </w:p>
        </w:tc>
      </w:tr>
      <w:tr w:rsidR="003D10F1"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Субвенции бюджетам сельских поселений на </w:t>
            </w:r>
            <w:r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5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228 557,00</w:t>
            </w:r>
          </w:p>
        </w:tc>
        <w:tc>
          <w:tcPr>
            <w:tcW w:w="1577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228 557,00</w:t>
            </w:r>
          </w:p>
        </w:tc>
        <w:tc>
          <w:tcPr>
            <w:tcW w:w="1428" w:type="dxa"/>
          </w:tcPr>
          <w:p w:rsidR="003D10F1" w:rsidRDefault="00A3790B">
            <w:pPr>
              <w:widowControl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531" w:type="dxa"/>
          </w:tcPr>
          <w:p w:rsidR="003D10F1" w:rsidRDefault="00A3790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0,99</w:t>
            </w:r>
          </w:p>
        </w:tc>
      </w:tr>
      <w:tr w:rsidR="003D10F1"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5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2 687 40,50</w:t>
            </w:r>
          </w:p>
        </w:tc>
        <w:tc>
          <w:tcPr>
            <w:tcW w:w="1577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2 687 540,50</w:t>
            </w:r>
          </w:p>
        </w:tc>
        <w:tc>
          <w:tcPr>
            <w:tcW w:w="1428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531" w:type="dxa"/>
          </w:tcPr>
          <w:p w:rsidR="003D10F1" w:rsidRDefault="00A3790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11,69</w:t>
            </w:r>
          </w:p>
        </w:tc>
      </w:tr>
      <w:tr w:rsidR="003D10F1">
        <w:tc>
          <w:tcPr>
            <w:tcW w:w="35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55" w:type="dxa"/>
          </w:tcPr>
          <w:p w:rsidR="003D10F1" w:rsidRDefault="00A3790B">
            <w:pPr>
              <w:widowControl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23 440 176,78</w:t>
            </w:r>
          </w:p>
        </w:tc>
        <w:tc>
          <w:tcPr>
            <w:tcW w:w="1577" w:type="dxa"/>
          </w:tcPr>
          <w:p w:rsidR="003D10F1" w:rsidRDefault="00A3790B">
            <w:pPr>
              <w:widowControl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22 987 697,04</w:t>
            </w:r>
          </w:p>
        </w:tc>
        <w:tc>
          <w:tcPr>
            <w:tcW w:w="1428" w:type="dxa"/>
          </w:tcPr>
          <w:p w:rsidR="003D10F1" w:rsidRDefault="00A3790B">
            <w:pPr>
              <w:widowControl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98,07</w:t>
            </w:r>
          </w:p>
        </w:tc>
        <w:tc>
          <w:tcPr>
            <w:tcW w:w="1531" w:type="dxa"/>
          </w:tcPr>
          <w:p w:rsidR="003D10F1" w:rsidRDefault="00A3790B">
            <w:pPr>
              <w:widowControl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100,00</w:t>
            </w:r>
          </w:p>
        </w:tc>
      </w:tr>
    </w:tbl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структуре</w:t>
      </w:r>
      <w:r>
        <w:rPr>
          <w:rFonts w:ascii="Times New Roman" w:hAnsi="Times New Roman"/>
          <w:sz w:val="24"/>
          <w:szCs w:val="24"/>
        </w:rPr>
        <w:t xml:space="preserve"> налоговых и неналоговых доходов налоговые доходы имеют долю 65,57% или сумму 5 127 277,94 рублей.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Налоги на прибыль, доходы представлены в виде поступлений налога на доход физического лица, поступление которого в отчетном периоде обеспечено на 107,31% пла</w:t>
      </w:r>
      <w:r>
        <w:rPr>
          <w:rFonts w:ascii="Times New Roman" w:hAnsi="Times New Roman"/>
          <w:sz w:val="24"/>
          <w:szCs w:val="24"/>
        </w:rPr>
        <w:t>нового значения или в сумме 336 811,85 рублей (доля в структуре доходов 1,46%).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Налоги на товары (работы, услуги) реализуемые на территории РФ представлены в виде поступления акциз по подакцизным товарам (продукции), прогнозное поступление обеспечено на 10</w:t>
      </w:r>
      <w:r>
        <w:rPr>
          <w:rFonts w:ascii="Times New Roman" w:hAnsi="Times New Roman"/>
          <w:sz w:val="24"/>
          <w:szCs w:val="24"/>
        </w:rPr>
        <w:t>7,27% планового значения или в сумме 2 151 892,34 рублей (доля в структуре доходов 9,36%).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Структура налога на совокупный доход  состоит из единого сельскохозяйственного </w:t>
      </w:r>
      <w:r>
        <w:rPr>
          <w:rFonts w:ascii="Times New Roman" w:hAnsi="Times New Roman"/>
          <w:sz w:val="24"/>
          <w:szCs w:val="24"/>
        </w:rPr>
        <w:lastRenderedPageBreak/>
        <w:t xml:space="preserve">налога. Поступление данного дохода обеспечено  минусовым значением «-» 88 238,50 </w:t>
      </w:r>
      <w:r>
        <w:rPr>
          <w:rFonts w:ascii="Times New Roman" w:hAnsi="Times New Roman"/>
          <w:sz w:val="24"/>
          <w:szCs w:val="24"/>
        </w:rPr>
        <w:t>рублей. По данным пояснительной записки  данная ситуация сложилась в связи с предоставлением налогоплательщиком уточненной декларации и возвратом ранее уплаченных авансовых платежей.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 на имущество поступил в отчетном году в сумме 2 722 612,25 рублей (</w:t>
      </w:r>
      <w:r>
        <w:rPr>
          <w:rFonts w:ascii="Times New Roman" w:hAnsi="Times New Roman"/>
          <w:sz w:val="24"/>
          <w:szCs w:val="24"/>
        </w:rPr>
        <w:t>доля в структуре доходов 11,84%) или 101,0% планового значения (2 695 329,06 рублей), в отчетном периоде поступила задолженность прошлых периодов. В том числе налог на имущество физических лиц поступил в сумме 51 640,16 рублей, земельный налог в сумме 2 67</w:t>
      </w:r>
      <w:r>
        <w:rPr>
          <w:rFonts w:ascii="Times New Roman" w:hAnsi="Times New Roman"/>
          <w:sz w:val="24"/>
          <w:szCs w:val="24"/>
        </w:rPr>
        <w:t xml:space="preserve">0 972,09 рублей (доля в структуре доходов 11,62%). 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</w:pPr>
      <w:r>
        <w:rPr>
          <w:rFonts w:ascii="Times New Roman" w:hAnsi="Times New Roman"/>
          <w:i/>
          <w:iCs/>
          <w:sz w:val="24"/>
          <w:szCs w:val="24"/>
        </w:rPr>
        <w:t>Недоимка по платежам в бюджет поселения по налогу на имущество и земельному налогу (ГАДБ УФНС) составила 401 730,73 рублей .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Государственная пошлина поступила в местный бюджет в сумме 4 200,00 рублей или </w:t>
      </w:r>
      <w:r>
        <w:rPr>
          <w:rFonts w:ascii="Times New Roman" w:hAnsi="Times New Roman"/>
          <w:sz w:val="24"/>
          <w:szCs w:val="24"/>
        </w:rPr>
        <w:t>100,00% планового значения (доля в структуре доходов 0,02%).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Неналоговые доходы в структуре налоговых и неналоговых доходов имеют долю 34,43%.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источником неналоговых доходов является поступление доходов от использования имущества находящегося в го</w:t>
      </w:r>
      <w:r>
        <w:rPr>
          <w:rFonts w:ascii="Times New Roman" w:hAnsi="Times New Roman"/>
          <w:sz w:val="24"/>
          <w:szCs w:val="24"/>
        </w:rPr>
        <w:t>сударственной и муниципальной собственности в сумме 1 666 060,68 рублей (доля в структуре доходов 7,25%) или 74,83% планового значения (2 226 332,04 рублей). В отчетном периоде в нарушение договорных обязательств не поступила плата аренды за земельные учас</w:t>
      </w:r>
      <w:r>
        <w:rPr>
          <w:rFonts w:ascii="Times New Roman" w:hAnsi="Times New Roman"/>
          <w:sz w:val="24"/>
          <w:szCs w:val="24"/>
        </w:rPr>
        <w:t xml:space="preserve">тки в полном объеме, что отразилось на выполнении прогнозных годовых значений. 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i/>
          <w:iCs/>
        </w:rPr>
      </w:pPr>
      <w:r>
        <w:rPr>
          <w:rFonts w:ascii="Times New Roman" w:hAnsi="Times New Roman"/>
          <w:i/>
          <w:iCs/>
          <w:sz w:val="24"/>
          <w:szCs w:val="24"/>
        </w:rPr>
        <w:t>По платежам в бюджет имеется просроченная задолженность по договорам аренды земли в размере 5 003 133,77 рублей (арендандатор ООО «Еремеевское», ИП ГК(Ф)Х Гольман Ю.П.) по дого</w:t>
      </w:r>
      <w:r>
        <w:rPr>
          <w:rFonts w:ascii="Times New Roman" w:hAnsi="Times New Roman"/>
          <w:i/>
          <w:iCs/>
          <w:sz w:val="24"/>
          <w:szCs w:val="24"/>
        </w:rPr>
        <w:t xml:space="preserve">вору на размещение нестационарного торгового объекта 3 200,00 рублей. Администрацией Еремеевского сельского поселения ведется претензионная работа.  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Доходы от оказания платных услуг и компенсации затрат государства поступили в сумме 746 951,05 рублей в об</w:t>
      </w:r>
      <w:r>
        <w:rPr>
          <w:rFonts w:ascii="Times New Roman" w:hAnsi="Times New Roman"/>
          <w:sz w:val="24"/>
          <w:szCs w:val="24"/>
        </w:rPr>
        <w:t>ъеме планового значения (поступили платежи по возмещению затрат за электроэнергию).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Штрафы, санкции, возмещение ущерба поступили в сумме 169 538,08 рублей (доля в структуре доходов 0,74%) или в объеме планового значения (по данным пояснительной записки пос</w:t>
      </w:r>
      <w:r>
        <w:rPr>
          <w:rFonts w:ascii="Times New Roman" w:hAnsi="Times New Roman"/>
          <w:sz w:val="24"/>
          <w:szCs w:val="24"/>
        </w:rPr>
        <w:t>тупила неустойка за нарушение закона о закупках, за ограждение кладбища от ООО «Экология и будущее»).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Прочие неналоговые платежи поступили в виде инициативных платежей в сумме 110 200,00 рублей (доля в структуре доходов 0,48%) или в объеме планового значен</w:t>
      </w:r>
      <w:r>
        <w:rPr>
          <w:rFonts w:ascii="Times New Roman" w:hAnsi="Times New Roman"/>
          <w:sz w:val="24"/>
          <w:szCs w:val="24"/>
        </w:rPr>
        <w:t>ия.</w:t>
      </w:r>
    </w:p>
    <w:p w:rsidR="003D10F1" w:rsidRDefault="00A3790B">
      <w:pPr>
        <w:pStyle w:val="ac"/>
        <w:widowControl w:val="0"/>
        <w:spacing w:after="0" w:line="240" w:lineRule="auto"/>
        <w:ind w:left="0" w:firstLine="90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структуре доходов поселения доходы в виде безвозмездных поступлений из других бюджетов бюджетной системы РФ составляют 65,98% в общем объеме поступлений. Плановые показатели исполнены на 100,00%.  В структуре безвозмездных поступлений наибольший удел</w:t>
      </w:r>
      <w:r>
        <w:rPr>
          <w:rFonts w:ascii="Times New Roman" w:hAnsi="Times New Roman"/>
          <w:sz w:val="24"/>
          <w:szCs w:val="24"/>
        </w:rPr>
        <w:t xml:space="preserve">ьный вес занимают субсидии </w:t>
      </w:r>
      <w:r>
        <w:rPr>
          <w:rFonts w:ascii="Times New Roman" w:hAnsi="Times New Roman"/>
          <w:color w:val="000000"/>
          <w:sz w:val="24"/>
          <w:szCs w:val="24"/>
        </w:rPr>
        <w:t xml:space="preserve">бюджетам сельских поселений на развитие транспортной инфраструктуры поступили в сумме 8 700 000,00 рублей; </w:t>
      </w:r>
      <w:r>
        <w:rPr>
          <w:rFonts w:ascii="Times New Roman" w:hAnsi="Times New Roman"/>
          <w:sz w:val="24"/>
          <w:szCs w:val="24"/>
        </w:rPr>
        <w:t xml:space="preserve">дотации бюджетам сельских поселений на выравнивание бюджетной обеспеченности поступили в сумме 3 551 571,79 рублей, </w:t>
      </w:r>
      <w:r>
        <w:rPr>
          <w:rFonts w:ascii="Times New Roman" w:hAnsi="Times New Roman"/>
          <w:color w:val="000000"/>
          <w:sz w:val="24"/>
          <w:szCs w:val="24"/>
        </w:rPr>
        <w:t>субвен</w:t>
      </w:r>
      <w:r>
        <w:rPr>
          <w:rFonts w:ascii="Times New Roman" w:hAnsi="Times New Roman"/>
          <w:color w:val="000000"/>
          <w:sz w:val="24"/>
          <w:szCs w:val="24"/>
        </w:rPr>
        <w:t>ции бюджетам сельских поселений на осуществление первичного воинского учета органами местного самоуправления поселений поступили в сумме 228 557,00 рублей;</w:t>
      </w:r>
      <w:r>
        <w:rPr>
          <w:rFonts w:ascii="Times New Roman" w:hAnsi="Times New Roman"/>
          <w:sz w:val="24"/>
          <w:szCs w:val="24"/>
        </w:rPr>
        <w:t xml:space="preserve"> иные межбюджетные трансферты поступили в сумме 2 687 540,50 рублей, в том числе на осуществление час</w:t>
      </w:r>
      <w:r>
        <w:rPr>
          <w:rFonts w:ascii="Times New Roman" w:hAnsi="Times New Roman"/>
          <w:sz w:val="24"/>
          <w:szCs w:val="24"/>
        </w:rPr>
        <w:t>ти полномочий переданных в соответствии с заключенными соглашениями в сумме 9 796,00 рублей.</w:t>
      </w:r>
    </w:p>
    <w:p w:rsidR="003D10F1" w:rsidRDefault="003D10F1">
      <w:pPr>
        <w:widowControl w:val="0"/>
        <w:ind w:right="-1"/>
        <w:jc w:val="center"/>
        <w:rPr>
          <w:b/>
        </w:rPr>
      </w:pPr>
    </w:p>
    <w:p w:rsidR="003D10F1" w:rsidRDefault="00A3790B">
      <w:pPr>
        <w:widowControl w:val="0"/>
        <w:ind w:right="-1"/>
        <w:jc w:val="center"/>
        <w:rPr>
          <w:b/>
        </w:rPr>
      </w:pPr>
      <w:r>
        <w:rPr>
          <w:b/>
        </w:rPr>
        <w:t>5.Исполнение расходной части бюджета поселения за 2024 год.</w:t>
      </w:r>
    </w:p>
    <w:p w:rsidR="003D10F1" w:rsidRDefault="00A3790B">
      <w:pPr>
        <w:widowControl w:val="0"/>
        <w:ind w:firstLine="680"/>
        <w:jc w:val="both"/>
      </w:pPr>
      <w:r>
        <w:t>В соответствии с Положением о бюджетном процессе в сельском поселении исполнение местного бюджета орга</w:t>
      </w:r>
      <w:r>
        <w:t>низуется на основе сводной бюджетной росписи местного бюджета и кассового плана исполнения местного бюджета.</w:t>
      </w:r>
    </w:p>
    <w:p w:rsidR="003D10F1" w:rsidRDefault="00A3790B">
      <w:pPr>
        <w:widowControl w:val="0"/>
        <w:ind w:firstLine="709"/>
        <w:jc w:val="both"/>
      </w:pPr>
      <w:r>
        <w:lastRenderedPageBreak/>
        <w:t>Исполнение расходов бюджета поселения согласно (ф.0503117) «Отчет об исполнении бюджета», предоставленному проекту решения Совета «Об исполнении бю</w:t>
      </w:r>
      <w:r>
        <w:t>джета за 2024 год» на 01.01.2025 года составило 24 951 298,56 рублей или 98,93%  плановых значений.</w:t>
      </w:r>
    </w:p>
    <w:p w:rsidR="003D10F1" w:rsidRDefault="00A3790B">
      <w:pPr>
        <w:widowControl w:val="0"/>
        <w:ind w:right="-1"/>
        <w:jc w:val="both"/>
      </w:pPr>
      <w:r>
        <w:t xml:space="preserve">Исполнение расходной части бюджета поселения за 2024 год в разрезе разделов характеризуется следующими показателями:                                        </w:t>
      </w:r>
      <w:r>
        <w:t xml:space="preserve">                        </w:t>
      </w:r>
      <w:r>
        <w:rPr>
          <w:sz w:val="20"/>
          <w:szCs w:val="20"/>
        </w:rPr>
        <w:t>Таблица 3</w:t>
      </w:r>
    </w:p>
    <w:tbl>
      <w:tblPr>
        <w:tblStyle w:val="af4"/>
        <w:tblW w:w="9570" w:type="dxa"/>
        <w:tblInd w:w="226" w:type="dxa"/>
        <w:tblLayout w:type="fixed"/>
        <w:tblLook w:val="04A0"/>
      </w:tblPr>
      <w:tblGrid>
        <w:gridCol w:w="2551"/>
        <w:gridCol w:w="1766"/>
        <w:gridCol w:w="1781"/>
        <w:gridCol w:w="1713"/>
        <w:gridCol w:w="1759"/>
      </w:tblGrid>
      <w:tr w:rsidR="003D10F1">
        <w:tc>
          <w:tcPr>
            <w:tcW w:w="255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раздела</w:t>
            </w:r>
          </w:p>
        </w:tc>
        <w:tc>
          <w:tcPr>
            <w:tcW w:w="1766" w:type="dxa"/>
          </w:tcPr>
          <w:p w:rsidR="003D10F1" w:rsidRDefault="00A3790B">
            <w:pPr>
              <w:widowControl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Утверждено решением о бюджете на 2024 год (в редакции от 27.12.2024г. № 51), рублей</w:t>
            </w:r>
          </w:p>
        </w:tc>
        <w:tc>
          <w:tcPr>
            <w:tcW w:w="1781" w:type="dxa"/>
          </w:tcPr>
          <w:p w:rsidR="003D10F1" w:rsidRDefault="00A3790B">
            <w:pPr>
              <w:widowControl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Исполнено,</w:t>
            </w:r>
          </w:p>
          <w:p w:rsidR="003D10F1" w:rsidRDefault="00A3790B">
            <w:pPr>
              <w:widowControl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Проект решения об исполнении бюджета за 2024 год</w:t>
            </w:r>
          </w:p>
        </w:tc>
        <w:tc>
          <w:tcPr>
            <w:tcW w:w="1713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 исполнения, %</w:t>
            </w:r>
          </w:p>
        </w:tc>
        <w:tc>
          <w:tcPr>
            <w:tcW w:w="1759" w:type="dxa"/>
          </w:tcPr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Удельный вес,</w:t>
            </w:r>
          </w:p>
          <w:p w:rsidR="003D10F1" w:rsidRDefault="00A3790B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 общем объеме </w:t>
            </w:r>
            <w:r>
              <w:rPr>
                <w:rFonts w:ascii="Times New Roman" w:hAnsi="Times New Roman"/>
                <w:sz w:val="16"/>
                <w:szCs w:val="16"/>
              </w:rPr>
              <w:t>доходов, %</w:t>
            </w:r>
          </w:p>
          <w:p w:rsidR="003D10F1" w:rsidRDefault="003D10F1">
            <w:pPr>
              <w:pStyle w:val="ac"/>
              <w:widowControl w:val="0"/>
              <w:spacing w:line="240" w:lineRule="auto"/>
              <w:ind w:left="0" w:right="-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D10F1">
        <w:tc>
          <w:tcPr>
            <w:tcW w:w="255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0100</w:t>
            </w:r>
          </w:p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766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5 247 941,48</w:t>
            </w:r>
          </w:p>
        </w:tc>
        <w:tc>
          <w:tcPr>
            <w:tcW w:w="178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5 195 601,63</w:t>
            </w:r>
          </w:p>
        </w:tc>
        <w:tc>
          <w:tcPr>
            <w:tcW w:w="1713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99,00</w:t>
            </w:r>
          </w:p>
        </w:tc>
        <w:tc>
          <w:tcPr>
            <w:tcW w:w="1759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20,83</w:t>
            </w:r>
          </w:p>
        </w:tc>
      </w:tr>
      <w:tr w:rsidR="003D10F1">
        <w:tc>
          <w:tcPr>
            <w:tcW w:w="255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0200</w:t>
            </w:r>
          </w:p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1766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228 557,00</w:t>
            </w:r>
          </w:p>
        </w:tc>
        <w:tc>
          <w:tcPr>
            <w:tcW w:w="178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228 557,00</w:t>
            </w:r>
          </w:p>
        </w:tc>
        <w:tc>
          <w:tcPr>
            <w:tcW w:w="1713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1759" w:type="dxa"/>
          </w:tcPr>
          <w:p w:rsidR="003D10F1" w:rsidRDefault="00A3790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</w:t>
            </w:r>
          </w:p>
        </w:tc>
      </w:tr>
      <w:tr w:rsidR="003D10F1">
        <w:tc>
          <w:tcPr>
            <w:tcW w:w="255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0300</w:t>
            </w:r>
          </w:p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6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304 731,77</w:t>
            </w:r>
          </w:p>
        </w:tc>
        <w:tc>
          <w:tcPr>
            <w:tcW w:w="178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304 731,77</w:t>
            </w:r>
          </w:p>
        </w:tc>
        <w:tc>
          <w:tcPr>
            <w:tcW w:w="1713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1759" w:type="dxa"/>
          </w:tcPr>
          <w:p w:rsidR="003D10F1" w:rsidRDefault="00A3790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1,22</w:t>
            </w:r>
          </w:p>
        </w:tc>
      </w:tr>
      <w:tr w:rsidR="003D10F1">
        <w:tc>
          <w:tcPr>
            <w:tcW w:w="255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0400</w:t>
            </w:r>
          </w:p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766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11 693 551,08</w:t>
            </w:r>
          </w:p>
        </w:tc>
        <w:tc>
          <w:tcPr>
            <w:tcW w:w="178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11 683 402,31</w:t>
            </w:r>
          </w:p>
        </w:tc>
        <w:tc>
          <w:tcPr>
            <w:tcW w:w="1713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99,91</w:t>
            </w:r>
          </w:p>
        </w:tc>
        <w:tc>
          <w:tcPr>
            <w:tcW w:w="1759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46,82</w:t>
            </w:r>
          </w:p>
        </w:tc>
      </w:tr>
      <w:tr w:rsidR="003D10F1">
        <w:tc>
          <w:tcPr>
            <w:tcW w:w="255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0500</w:t>
            </w:r>
          </w:p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766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5 098 579,72</w:t>
            </w:r>
          </w:p>
        </w:tc>
        <w:tc>
          <w:tcPr>
            <w:tcW w:w="178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5 090 070,72</w:t>
            </w:r>
          </w:p>
        </w:tc>
        <w:tc>
          <w:tcPr>
            <w:tcW w:w="1713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99,83</w:t>
            </w:r>
          </w:p>
        </w:tc>
        <w:tc>
          <w:tcPr>
            <w:tcW w:w="1759" w:type="dxa"/>
          </w:tcPr>
          <w:p w:rsidR="003D10F1" w:rsidRDefault="00A3790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20,40</w:t>
            </w:r>
          </w:p>
        </w:tc>
      </w:tr>
      <w:tr w:rsidR="003D10F1">
        <w:tc>
          <w:tcPr>
            <w:tcW w:w="255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0700</w:t>
            </w:r>
          </w:p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Образование</w:t>
            </w:r>
          </w:p>
        </w:tc>
        <w:tc>
          <w:tcPr>
            <w:tcW w:w="1766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18 494,00</w:t>
            </w:r>
          </w:p>
        </w:tc>
        <w:tc>
          <w:tcPr>
            <w:tcW w:w="178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18 494,00</w:t>
            </w:r>
          </w:p>
        </w:tc>
        <w:tc>
          <w:tcPr>
            <w:tcW w:w="1713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1759" w:type="dxa"/>
          </w:tcPr>
          <w:p w:rsidR="003D10F1" w:rsidRDefault="00A3790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</w:tr>
      <w:tr w:rsidR="003D10F1">
        <w:tc>
          <w:tcPr>
            <w:tcW w:w="255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0800</w:t>
            </w:r>
          </w:p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766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1 999 447,11</w:t>
            </w:r>
          </w:p>
        </w:tc>
        <w:tc>
          <w:tcPr>
            <w:tcW w:w="178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1 799 754,01</w:t>
            </w:r>
          </w:p>
        </w:tc>
        <w:tc>
          <w:tcPr>
            <w:tcW w:w="1713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90,01</w:t>
            </w:r>
          </w:p>
        </w:tc>
        <w:tc>
          <w:tcPr>
            <w:tcW w:w="1759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7,21</w:t>
            </w:r>
          </w:p>
        </w:tc>
      </w:tr>
      <w:tr w:rsidR="003D10F1">
        <w:tc>
          <w:tcPr>
            <w:tcW w:w="255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1766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292 855,68</w:t>
            </w:r>
          </w:p>
        </w:tc>
        <w:tc>
          <w:tcPr>
            <w:tcW w:w="178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292 855,68</w:t>
            </w:r>
          </w:p>
        </w:tc>
        <w:tc>
          <w:tcPr>
            <w:tcW w:w="1713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1759" w:type="dxa"/>
          </w:tcPr>
          <w:p w:rsidR="003D10F1" w:rsidRDefault="00A3790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1,18</w:t>
            </w:r>
          </w:p>
        </w:tc>
      </w:tr>
      <w:tr w:rsidR="003D10F1">
        <w:tc>
          <w:tcPr>
            <w:tcW w:w="255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</w:t>
            </w:r>
          </w:p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766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337 672,42</w:t>
            </w:r>
          </w:p>
        </w:tc>
        <w:tc>
          <w:tcPr>
            <w:tcW w:w="178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337 672,42</w:t>
            </w:r>
          </w:p>
        </w:tc>
        <w:tc>
          <w:tcPr>
            <w:tcW w:w="1713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1759" w:type="dxa"/>
          </w:tcPr>
          <w:p w:rsidR="003D10F1" w:rsidRDefault="00A3790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</w:t>
            </w:r>
          </w:p>
        </w:tc>
      </w:tr>
      <w:tr w:rsidR="003D10F1">
        <w:tc>
          <w:tcPr>
            <w:tcW w:w="255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1300 Обслуживание государственного (муниципального) долга</w:t>
            </w:r>
          </w:p>
        </w:tc>
        <w:tc>
          <w:tcPr>
            <w:tcW w:w="1766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159,02</w:t>
            </w:r>
          </w:p>
        </w:tc>
        <w:tc>
          <w:tcPr>
            <w:tcW w:w="1781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159,02</w:t>
            </w:r>
          </w:p>
        </w:tc>
        <w:tc>
          <w:tcPr>
            <w:tcW w:w="1713" w:type="dxa"/>
          </w:tcPr>
          <w:p w:rsidR="003D10F1" w:rsidRDefault="00A3790B">
            <w:pPr>
              <w:widowControl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1759" w:type="dxa"/>
          </w:tcPr>
          <w:p w:rsidR="003D10F1" w:rsidRDefault="00A3790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3D10F1">
        <w:tc>
          <w:tcPr>
            <w:tcW w:w="2551" w:type="dxa"/>
          </w:tcPr>
          <w:p w:rsidR="003D10F1" w:rsidRDefault="00A3790B">
            <w:pPr>
              <w:widowControl w:val="0"/>
              <w:ind w:right="-1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766" w:type="dxa"/>
          </w:tcPr>
          <w:p w:rsidR="003D10F1" w:rsidRDefault="00A3790B">
            <w:pPr>
              <w:widowControl w:val="0"/>
              <w:ind w:right="-1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25 221 989,28</w:t>
            </w:r>
          </w:p>
        </w:tc>
        <w:tc>
          <w:tcPr>
            <w:tcW w:w="1781" w:type="dxa"/>
          </w:tcPr>
          <w:p w:rsidR="003D10F1" w:rsidRDefault="00A3790B">
            <w:pPr>
              <w:widowControl w:val="0"/>
              <w:ind w:right="-1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24 951 298,56</w:t>
            </w:r>
          </w:p>
        </w:tc>
        <w:tc>
          <w:tcPr>
            <w:tcW w:w="1713" w:type="dxa"/>
          </w:tcPr>
          <w:p w:rsidR="003D10F1" w:rsidRDefault="00A3790B">
            <w:pPr>
              <w:widowControl w:val="0"/>
              <w:ind w:right="-1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98,93</w:t>
            </w:r>
          </w:p>
        </w:tc>
        <w:tc>
          <w:tcPr>
            <w:tcW w:w="1759" w:type="dxa"/>
          </w:tcPr>
          <w:p w:rsidR="003D10F1" w:rsidRDefault="00A3790B">
            <w:pPr>
              <w:widowControl w:val="0"/>
              <w:ind w:right="-1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100,00</w:t>
            </w:r>
          </w:p>
        </w:tc>
      </w:tr>
    </w:tbl>
    <w:p w:rsidR="003D10F1" w:rsidRDefault="00A3790B">
      <w:pPr>
        <w:widowControl w:val="0"/>
        <w:ind w:firstLine="709"/>
        <w:jc w:val="both"/>
      </w:pPr>
      <w:r>
        <w:t>Основная доля расходов бюджета поселения приходится на разделы  «Общегосударственные вопросы»-20,83%,  «Национальная экономика»-46,82%, «Жилищно-коммунальное хозяйство»-20,40%.</w:t>
      </w:r>
    </w:p>
    <w:p w:rsidR="003D10F1" w:rsidRDefault="00A3790B">
      <w:pPr>
        <w:widowControl w:val="0"/>
        <w:ind w:firstLine="709"/>
        <w:jc w:val="both"/>
      </w:pPr>
      <w:r>
        <w:t>В структуре расходов бюджета расходы на финансирование социально-культу</w:t>
      </w:r>
      <w:r>
        <w:t>рной сферы имеют 9,81% в общей структуре расходов и составляют 2 448 776,11 рублей (образование, культура, социальная политика, физическая культура и спорт).</w:t>
      </w:r>
    </w:p>
    <w:p w:rsidR="003D10F1" w:rsidRDefault="00A3790B">
      <w:pPr>
        <w:widowControl w:val="0"/>
        <w:ind w:firstLine="709"/>
        <w:jc w:val="both"/>
      </w:pPr>
      <w:r>
        <w:t>На исполнение публичных нормативных обязательств направлено 292 855,68 рублей.</w:t>
      </w:r>
    </w:p>
    <w:p w:rsidR="003D10F1" w:rsidRDefault="00A3790B">
      <w:pPr>
        <w:widowControl w:val="0"/>
        <w:ind w:firstLine="709"/>
        <w:jc w:val="both"/>
      </w:pPr>
      <w:r>
        <w:rPr>
          <w:rFonts w:eastAsia="Calibri"/>
        </w:rPr>
        <w:t>Плановые назначения</w:t>
      </w:r>
      <w:r>
        <w:rPr>
          <w:rFonts w:eastAsia="Calibri"/>
        </w:rPr>
        <w:t xml:space="preserve"> в 2024 году не выполнены по разделу бюджетной классификации «</w:t>
      </w:r>
      <w:r>
        <w:t>Национальная экономика» на 0,09%, «Общегосударственные вопросы» на 1,00%, «Культура, кинематография»  на 9,99%, «Жилищно-комунальное хозяйство» на 0,17%. По данным Сведения об исполнении бюджета</w:t>
      </w:r>
      <w:r>
        <w:t xml:space="preserve"> (ф.0503164) причиной отклонений от планового задания явилась оплата работ «по факту» на основании актов выполненных работ.</w:t>
      </w:r>
    </w:p>
    <w:p w:rsidR="003D10F1" w:rsidRDefault="00A3790B">
      <w:pPr>
        <w:widowControl w:val="0"/>
        <w:ind w:firstLine="709"/>
        <w:jc w:val="both"/>
      </w:pPr>
      <w:r>
        <w:t>Финансирование бюджетных обязательств производилось в рамках утвержденных  муниципальных программ.</w:t>
      </w:r>
    </w:p>
    <w:p w:rsidR="003D10F1" w:rsidRDefault="00A3790B">
      <w:pPr>
        <w:widowControl w:val="0"/>
        <w:ind w:firstLine="709"/>
        <w:jc w:val="both"/>
      </w:pPr>
      <w:r>
        <w:t xml:space="preserve">Расходы по разделу </w:t>
      </w:r>
      <w:r>
        <w:rPr>
          <w:b/>
          <w:bCs/>
        </w:rPr>
        <w:t xml:space="preserve">«Общегосударственные вопросы» </w:t>
      </w:r>
      <w:r>
        <w:t>составили 5 195 601,63 рублей (доля в структуре расходов 20,83%) или 99,00% планового значения (5 247 941,48 рублей), в том числе по подразделу «Функционирование высшего должностного лица муниципального образования» в сумме 1 </w:t>
      </w:r>
      <w:r>
        <w:t>103 356,83 рублей (средства направлены на выплату заработной платы главе поселения);</w:t>
      </w:r>
    </w:p>
    <w:p w:rsidR="003D10F1" w:rsidRDefault="00A3790B">
      <w:pPr>
        <w:widowControl w:val="0"/>
        <w:ind w:firstLine="709"/>
        <w:jc w:val="both"/>
      </w:pPr>
      <w:r>
        <w:t>По подразделу «</w:t>
      </w:r>
      <w:r>
        <w:rPr>
          <w:color w:val="000000"/>
          <w:sz w:val="25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>
        <w:t xml:space="preserve">» объем исполнения составил 2 554 337,72 рублей или 97,99% планового значения (2 606 677,57 рублей). Средства направлены на обеспечение деятельности </w:t>
      </w:r>
      <w:r>
        <w:lastRenderedPageBreak/>
        <w:t>администрации поселения (оплата труда, обеспечение техникой, оплату коммунальных услуг, оплату налогов,  шт</w:t>
      </w:r>
      <w:r>
        <w:t xml:space="preserve">рафа </w:t>
      </w:r>
      <w:r>
        <w:rPr>
          <w:i/>
          <w:iCs/>
        </w:rPr>
        <w:t xml:space="preserve">за нарушение законодательства о закупках и нарушение условий контрактов (договоров) в сумме 3 095,11 рублей (в нарушение ст. 34 БК РФ), </w:t>
      </w:r>
      <w:r>
        <w:t xml:space="preserve"> прочие расходы); иных межбюджетных трансфертов по части переданных полномочий из бюджета поселения бюджету муницип</w:t>
      </w:r>
      <w:r>
        <w:t xml:space="preserve">ального района в соответствии с заключенными соглашениями в сумме 427 658,00 рублей; исполнение полномочий по части переданных полномочий из бюджета района в бюджет поселения в сумме 9 796,00 рублей. </w:t>
      </w:r>
    </w:p>
    <w:p w:rsidR="003D10F1" w:rsidRDefault="00A3790B">
      <w:pPr>
        <w:widowControl w:val="0"/>
        <w:ind w:firstLine="709"/>
        <w:jc w:val="both"/>
      </w:pPr>
      <w:r>
        <w:t>В процессе проверки проведен анализ соблюдения установл</w:t>
      </w:r>
      <w:r>
        <w:t>енных Правительством Омской области Постановлением от 23.11.2023 № 627-п нормативов формирования расходов на содержание органа местного самоуправления, нарушений не установлено.</w:t>
      </w:r>
    </w:p>
    <w:p w:rsidR="003D10F1" w:rsidRDefault="00A3790B">
      <w:pPr>
        <w:widowControl w:val="0"/>
        <w:ind w:firstLine="709"/>
        <w:jc w:val="both"/>
      </w:pPr>
      <w:r>
        <w:t>По подразделу «Другие общегосударственные вопросы» произведены расходы в сумме</w:t>
      </w:r>
      <w:r>
        <w:t xml:space="preserve"> 1 537 907,08 рублей или 100,00% планового значения. Расходы направлены а оформление муниципальной собственности на объекты недвижимости и вовлечение в хозяйственный оборот в сумме 6 000,00 рублей; содержание муниципального имущества в сумме 475 500,00 руб</w:t>
      </w:r>
      <w:r>
        <w:t>лей (оплата коммунальных платежей, закуп энергетических ресурсов), обеспечение функций казенного учреждения в сумме 1 028 407,08 рублей (на оплату выплату персоналу; технического обеспечения) расходы на проведение мероприятий по новогоднему оформлению посе</w:t>
      </w:r>
      <w:r>
        <w:t>лка в сумме 28 000,00 рублей.</w:t>
      </w:r>
    </w:p>
    <w:p w:rsidR="003D10F1" w:rsidRDefault="00A3790B">
      <w:pPr>
        <w:widowControl w:val="0"/>
        <w:ind w:firstLine="709"/>
        <w:jc w:val="both"/>
      </w:pPr>
      <w:r>
        <w:t xml:space="preserve">По разделу </w:t>
      </w:r>
      <w:r>
        <w:rPr>
          <w:b/>
          <w:bCs/>
        </w:rPr>
        <w:t>«Национальная оборона»</w:t>
      </w:r>
      <w:r>
        <w:t xml:space="preserve"> расходы исполнены в сумме 228 557,00 рублей (доля в структуре расходов 0,92%) или 100,00 % планового значения. Средства направлены на осуществление первичного воинского учета поселения.</w:t>
      </w:r>
    </w:p>
    <w:p w:rsidR="003D10F1" w:rsidRDefault="00A3790B">
      <w:pPr>
        <w:widowControl w:val="0"/>
        <w:ind w:firstLine="709"/>
        <w:jc w:val="both"/>
      </w:pPr>
      <w:r>
        <w:t>По раз</w:t>
      </w:r>
      <w:r>
        <w:t xml:space="preserve">делу </w:t>
      </w:r>
      <w:r>
        <w:rPr>
          <w:b/>
          <w:bCs/>
        </w:rPr>
        <w:t>«Национальная безопасность и правоохранительная деятельность»</w:t>
      </w:r>
      <w:r>
        <w:t xml:space="preserve"> произведены расходы в сумме 304 731,77 рублей (доля в структуре расходов 1,22%)  на обеспечение пожарной безопасности. Средства направлены на выполнение работ по противопожарной опашке, опл</w:t>
      </w:r>
      <w:r>
        <w:t xml:space="preserve">ату услуг спецтехники. </w:t>
      </w:r>
    </w:p>
    <w:p w:rsidR="003D10F1" w:rsidRDefault="00A3790B">
      <w:pPr>
        <w:widowControl w:val="0"/>
        <w:ind w:firstLine="709"/>
        <w:jc w:val="both"/>
      </w:pPr>
      <w:r>
        <w:t xml:space="preserve">По разделу </w:t>
      </w:r>
      <w:r>
        <w:rPr>
          <w:b/>
          <w:bCs/>
        </w:rPr>
        <w:t>«Национальная экономика»</w:t>
      </w:r>
      <w:r>
        <w:t xml:space="preserve"> произведены расходы в сумме 11 683 402,31 рублей (доля в структуре расходов 46,82%) или 99,91% планового значения (11 693 551,08 рублей), в том числе:</w:t>
      </w:r>
    </w:p>
    <w:p w:rsidR="003D10F1" w:rsidRDefault="00A3790B">
      <w:pPr>
        <w:widowControl w:val="0"/>
        <w:ind w:firstLine="709"/>
        <w:jc w:val="both"/>
      </w:pPr>
      <w:r>
        <w:t>по подразделу «Общеэкономические вопросы» в с</w:t>
      </w:r>
      <w:r>
        <w:t>умме 56 439,52 рублей на организацию временного трудоустройства несовершеннолетних граждан в возрасте от 14 до 18 лет в свободное от учебы время;</w:t>
      </w:r>
    </w:p>
    <w:p w:rsidR="003D10F1" w:rsidRDefault="00A3790B">
      <w:pPr>
        <w:widowControl w:val="0"/>
        <w:ind w:firstLine="709"/>
        <w:jc w:val="both"/>
      </w:pPr>
      <w:r>
        <w:t>по подразделу «Дорожное хозяйство (дорожные фонды)» в сумме 11 609  362,79 рублей или 99,91% планового значени</w:t>
      </w:r>
      <w:r>
        <w:t>я (11 619 511,56 рублей), средства направлены на содержание внутрипоселковых автомобильных   дорог и сооружений на них в сумме 1 446 563,85 рублей (очистка от снега, обкос обочин, грейдирование дорожного полотна, приобретение строительных материалов, прочи</w:t>
      </w:r>
      <w:r>
        <w:t>х материальных запасов;</w:t>
      </w:r>
    </w:p>
    <w:p w:rsidR="003D10F1" w:rsidRDefault="00A3790B">
      <w:pPr>
        <w:widowControl w:val="0"/>
        <w:ind w:firstLine="709"/>
        <w:jc w:val="both"/>
      </w:pPr>
      <w:r>
        <w:t>Капитальный ремонт автомобильных дорог общего пользования местного значения в Еремеевском сельском поселении в сумме 10 162 798,94 рублей.</w:t>
      </w:r>
    </w:p>
    <w:p w:rsidR="003D10F1" w:rsidRDefault="00A3790B">
      <w:pPr>
        <w:widowControl w:val="0"/>
        <w:ind w:firstLine="709"/>
        <w:jc w:val="both"/>
      </w:pPr>
      <w:r>
        <w:t>по подразделу «Другие вопросы в национальной экономике» в сумме 17 600,00 рублей в объеме пла</w:t>
      </w:r>
      <w:r>
        <w:t>нового значения, средства направлены оплату кадастровых работ по разграничению земельного участка.</w:t>
      </w:r>
    </w:p>
    <w:p w:rsidR="003D10F1" w:rsidRDefault="00A3790B">
      <w:pPr>
        <w:widowControl w:val="0"/>
        <w:ind w:firstLine="709"/>
        <w:jc w:val="both"/>
      </w:pPr>
      <w:r>
        <w:t xml:space="preserve">По разделу </w:t>
      </w:r>
      <w:r>
        <w:rPr>
          <w:b/>
        </w:rPr>
        <w:t>«Жилищно-коммунальное хозяйство»</w:t>
      </w:r>
      <w:r>
        <w:t xml:space="preserve"> произведены расходы в сумме 5 090 070,72 рублей или 99,83% планового значения (5 098 579,72 рублей), в том числе:</w:t>
      </w:r>
    </w:p>
    <w:p w:rsidR="003D10F1" w:rsidRDefault="00A3790B">
      <w:pPr>
        <w:widowControl w:val="0"/>
        <w:ind w:firstLine="709"/>
        <w:jc w:val="both"/>
      </w:pPr>
      <w:r>
        <w:t>по подразделу «Благоустройство» в сумме 5 090 070,72 рублей, средства направлены на организацию уличного освещения в сумме 524 093,06 рублей (аренда части поверхности опор светильников уличного освещения 34 036,00 рублей, услуги электроснабжения 247 110,0</w:t>
      </w:r>
      <w:r>
        <w:t>0 рублей, приобретения материальных запасов, основных средств в сумме 242 947,06 рублей); на организацию озеленения в сумме 19 600,00 рублей;   содержание мест захоронения в сумме 288 692,64 рублей;  прочие работы по благоустройству в сумме 897 958,80 рубл</w:t>
      </w:r>
      <w:r>
        <w:t xml:space="preserve">ей (по данным Пояснительной записки: уборка общественных территорий поселка, удаление сорной растительности, приобретение основных средств, материальных запасов); проведение мероприятий по борьбе с </w:t>
      </w:r>
      <w:r>
        <w:lastRenderedPageBreak/>
        <w:t>наркосодержащими растениями в сумме 9 200,00 рублей; повыш</w:t>
      </w:r>
      <w:r>
        <w:t xml:space="preserve">ение эффективности энергосбережения в сумме 4 380,00 рублей. </w:t>
      </w:r>
    </w:p>
    <w:p w:rsidR="003D10F1" w:rsidRDefault="00A3790B">
      <w:pPr>
        <w:widowControl w:val="0"/>
        <w:ind w:firstLine="709"/>
        <w:jc w:val="both"/>
      </w:pPr>
      <w:r>
        <w:t>В рамках реализации проекта "Формирование комфортной городской среды на территории Еремеевского сельского поселения Полтавского муниципального района Омской области", направленного на достижение</w:t>
      </w:r>
      <w:r>
        <w:t xml:space="preserve"> целей федерального проекта "Формирование комфортной городской среды" произведены расходы на обустройство места захоронения (кладбища) в с.Еремеевка в сумме 3 346 146,22 рублей или 100,00% планового.</w:t>
      </w:r>
    </w:p>
    <w:p w:rsidR="003D10F1" w:rsidRDefault="00A3790B">
      <w:pPr>
        <w:widowControl w:val="0"/>
        <w:ind w:firstLine="709"/>
        <w:jc w:val="both"/>
      </w:pPr>
      <w:r>
        <w:t xml:space="preserve">По разделу </w:t>
      </w:r>
      <w:r>
        <w:rPr>
          <w:b/>
        </w:rPr>
        <w:t>«Образование»</w:t>
      </w:r>
      <w:r>
        <w:t xml:space="preserve"> бюджетные назначения исполнены </w:t>
      </w:r>
      <w:r>
        <w:t xml:space="preserve">в сумме 18 494,00 рублей (доля в структуре расходов 0,07%) в объеме плановых годовых значений. Средства направлены на организацию оздоровления и отдыха несовершеннолетних (приобретение ГСМ), выплату премий, патриотическое воспитание молодежи (приобретение </w:t>
      </w:r>
      <w:r>
        <w:t>цветов для возложения).</w:t>
      </w:r>
    </w:p>
    <w:p w:rsidR="003D10F1" w:rsidRDefault="00A3790B">
      <w:pPr>
        <w:widowControl w:val="0"/>
        <w:ind w:firstLine="709"/>
        <w:jc w:val="both"/>
      </w:pPr>
      <w:r>
        <w:t xml:space="preserve">По разделу </w:t>
      </w:r>
      <w:r>
        <w:rPr>
          <w:b/>
        </w:rPr>
        <w:t>«Культура, кинематография»</w:t>
      </w:r>
      <w:r>
        <w:t xml:space="preserve"> бюджетные назначения исполнены в сумме 1 799 754,01 рублей (доля в структуре расходов 7 ,21%) или 90,01% планового значения (1 999 447,11 рублей).</w:t>
      </w:r>
      <w:r>
        <w:t xml:space="preserve">В ф.0503164 даны объяснения причин неисполнения </w:t>
      </w:r>
      <w:r>
        <w:t>как «отсутствие нормативного акта для исполнения бюджетных назначений». С</w:t>
      </w:r>
      <w:r>
        <w:t>редства направлены на проведение мероприятий в сумме 133 733,25 рублей, в том числе на выплаты премии в сумме 13 750,00 рублей, приобретение подарочной продукции в сумме 72 399,00 руб</w:t>
      </w:r>
      <w:r>
        <w:t>лей, прочих запасов, основных средств 47 584,25 рублей; на содержание муниципального имущества в сумме 1 666 020,76 рублей, в том числе на покупку услуг по электроэнергии в сумме 1 240 716,27 рублей; оплаты коммунальных услуг связи, теплоснабжения, обращен</w:t>
      </w:r>
      <w:r>
        <w:t xml:space="preserve">ия ТКО, оплату налога 2 161,00 рублей, приобретение стройматериалов в сумме 423 143,49 рублей. </w:t>
      </w:r>
    </w:p>
    <w:p w:rsidR="003D10F1" w:rsidRDefault="00A3790B">
      <w:pPr>
        <w:widowControl w:val="0"/>
        <w:ind w:firstLine="709"/>
        <w:jc w:val="both"/>
      </w:pPr>
      <w:r>
        <w:t xml:space="preserve">По разделу </w:t>
      </w:r>
      <w:r>
        <w:rPr>
          <w:b/>
        </w:rPr>
        <w:t>«Социальная политика»</w:t>
      </w:r>
      <w:r>
        <w:t xml:space="preserve"> исполнено в сумме 292 855,68 рублей (доля в структуре расходов 1,18%) или 100,00% планового значения. Средства направлены на вы</w:t>
      </w:r>
      <w:r>
        <w:t>плату пенсии за выслугу лет служащим, замещавшим муниципальные должности в поселении.</w:t>
      </w:r>
    </w:p>
    <w:p w:rsidR="003D10F1" w:rsidRDefault="00A3790B">
      <w:pPr>
        <w:widowControl w:val="0"/>
        <w:ind w:firstLine="709"/>
        <w:jc w:val="both"/>
      </w:pPr>
      <w:r>
        <w:t xml:space="preserve">По разделу </w:t>
      </w:r>
      <w:r>
        <w:rPr>
          <w:b/>
        </w:rPr>
        <w:t>«Физическая культура и спорт»</w:t>
      </w:r>
      <w:r>
        <w:t xml:space="preserve"> исполнено в сумме 337 672,42 рублей (доля в структуре расходов 1,35%) или 100,00% планового значения. Средства направлены на пров</w:t>
      </w:r>
      <w:r>
        <w:t>едение спортивно – культурного праздника «Снежинка – Еремеевка- 2024» : выплату премии спортсменам в сумме 28 966,00 рублей, обеспечения питанием участников соревнований в сумме 43 042,00 рублей, приобретение материальных запасов основных средств.</w:t>
      </w:r>
    </w:p>
    <w:p w:rsidR="003D10F1" w:rsidRDefault="00A3790B">
      <w:pPr>
        <w:widowControl w:val="0"/>
        <w:ind w:firstLine="709"/>
        <w:jc w:val="both"/>
      </w:pPr>
      <w:r>
        <w:t>По подра</w:t>
      </w:r>
      <w:r>
        <w:t>зделу «Обслуживание государственного (муниципального долга)» исполнено в сумме 159,02 рублей, средства направлены на оплату процентов за пользование бюджетным кредитом предоставленным Комитетом финансов администрации Полтавского муниципального района по до</w:t>
      </w:r>
      <w:r>
        <w:t>говору от 07.08.2024г в сумме 600 000,00 рублей для частичного покрытия дефицита бюджета возникающего при исполнении местного бюджета в 2024 году, со сроком погашения до 25.12.2024г.</w:t>
      </w:r>
    </w:p>
    <w:p w:rsidR="003D10F1" w:rsidRDefault="00A3790B">
      <w:pPr>
        <w:ind w:firstLine="426"/>
        <w:jc w:val="both"/>
      </w:pPr>
      <w:r>
        <w:t>В соответствии с Договором от 27.12.2024года из бюджета Полтавского муниц</w:t>
      </w:r>
      <w:r>
        <w:t>ипального района бюджету Еремеевского поселения Полтавского муниципального района предоставлен бюджетный кредит на возвратной основе в размере 900 000,00 рублей для покрытия дефицита бюджета, возникающего при исполнении местного бюджета в 2024 году. Средст</w:t>
      </w:r>
      <w:r>
        <w:t xml:space="preserve">ва бюджетного кредитования направлены на финансирование </w:t>
      </w:r>
    </w:p>
    <w:p w:rsidR="003D10F1" w:rsidRDefault="00A3790B">
      <w:pPr>
        <w:widowControl w:val="0"/>
        <w:jc w:val="both"/>
      </w:pPr>
      <w:r>
        <w:rPr>
          <w:rFonts w:eastAsia="Calibri"/>
        </w:rPr>
        <w:t>исполнения расходных обязательств, срок исполнения декабрь 2025 года.</w:t>
      </w:r>
    </w:p>
    <w:p w:rsidR="003D10F1" w:rsidRDefault="00A3790B">
      <w:pPr>
        <w:widowControl w:val="0"/>
        <w:ind w:firstLine="709"/>
        <w:jc w:val="both"/>
      </w:pPr>
      <w:r>
        <w:t>Бюджетные и денежные обязательства в отчетном году принимались в пределах утвержденного объема бюджетных ассигнований и лимитов б</w:t>
      </w:r>
      <w:r>
        <w:t>юджетных обязательств.</w:t>
      </w:r>
    </w:p>
    <w:p w:rsidR="003D10F1" w:rsidRDefault="003D10F1">
      <w:pPr>
        <w:widowControl w:val="0"/>
        <w:ind w:firstLine="709"/>
        <w:jc w:val="both"/>
        <w:rPr>
          <w:rFonts w:eastAsia="Calibri"/>
        </w:rPr>
      </w:pPr>
    </w:p>
    <w:p w:rsidR="003D10F1" w:rsidRDefault="00A3790B">
      <w:pPr>
        <w:widowControl w:val="0"/>
        <w:ind w:right="-1"/>
        <w:jc w:val="center"/>
        <w:rPr>
          <w:rFonts w:eastAsia="Calibri"/>
          <w:b/>
        </w:rPr>
      </w:pPr>
      <w:r>
        <w:rPr>
          <w:rFonts w:eastAsia="Calibri"/>
          <w:b/>
        </w:rPr>
        <w:t>6.Источики внутреннего финансирования дефицита бюджета поселения.</w:t>
      </w:r>
    </w:p>
    <w:p w:rsidR="003D10F1" w:rsidRDefault="00A3790B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В соответствии с решением Совета депутатов </w:t>
      </w:r>
      <w:r>
        <w:rPr>
          <w:color w:val="333333"/>
        </w:rPr>
        <w:t>Еремеев</w:t>
      </w:r>
      <w:r>
        <w:rPr>
          <w:rFonts w:eastAsia="Calibri"/>
        </w:rPr>
        <w:t xml:space="preserve">ского сельского поселения от 05.12.2023г. № 57 (в редакции от 27.12.2023г. № 51) главным администратором </w:t>
      </w:r>
      <w:r>
        <w:rPr>
          <w:rFonts w:eastAsia="Calibri"/>
        </w:rPr>
        <w:lastRenderedPageBreak/>
        <w:t xml:space="preserve">источников </w:t>
      </w:r>
      <w:r>
        <w:rPr>
          <w:rFonts w:eastAsia="Calibri"/>
        </w:rPr>
        <w:t xml:space="preserve">внутреннего финансирования дефицита бюджета утверждена Администрация </w:t>
      </w:r>
      <w:r>
        <w:rPr>
          <w:color w:val="333333"/>
        </w:rPr>
        <w:t>Еремеев</w:t>
      </w:r>
      <w:r>
        <w:rPr>
          <w:rFonts w:eastAsia="Calibri"/>
        </w:rPr>
        <w:t>ского сельского поселения.</w:t>
      </w:r>
    </w:p>
    <w:p w:rsidR="003D10F1" w:rsidRDefault="00A3790B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>Первоначально бюджет поселения на 2024 год был утвержден сбалансированным по доходам и расходам.</w:t>
      </w:r>
    </w:p>
    <w:p w:rsidR="003D10F1" w:rsidRDefault="00A3790B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Уточненным решением  в редакции от 27.12.2024г. № 51 утвержден прогнозируемый дефицит бюджета </w:t>
      </w:r>
      <w:r>
        <w:rPr>
          <w:color w:val="333333"/>
        </w:rPr>
        <w:t>Еремеев</w:t>
      </w:r>
      <w:r>
        <w:rPr>
          <w:rFonts w:eastAsia="Calibri"/>
        </w:rPr>
        <w:t>ского сельского поселения  на 2024 год в сумме 1 781 812,50 рублей.</w:t>
      </w:r>
    </w:p>
    <w:p w:rsidR="003D10F1" w:rsidRDefault="00A3790B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>По данным отчета об исполнении бюджета (ф.0503117) в 2024 году бюджет поселения исполне</w:t>
      </w:r>
      <w:r>
        <w:rPr>
          <w:rFonts w:eastAsia="Calibri"/>
        </w:rPr>
        <w:t xml:space="preserve">н с дефицитом в сумме 1 963 601,52 рублей, который направлен на уменьшение остатков средств бюджета. </w:t>
      </w:r>
      <w:r>
        <w:rPr>
          <w:rFonts w:eastAsia="Calibri"/>
        </w:rPr>
        <w:t>Остаток средств на счете на 01.01.2024г  1 781 812,50 рублей.</w:t>
      </w:r>
    </w:p>
    <w:p w:rsidR="003D10F1" w:rsidRDefault="00A3790B">
      <w:pPr>
        <w:jc w:val="both"/>
      </w:pPr>
      <w:r>
        <w:t>Администрацией сельского поселения в 2024 году муниципальные гарантии предприятиям и организа</w:t>
      </w:r>
      <w:r>
        <w:t>циям не представлялись.</w:t>
      </w:r>
    </w:p>
    <w:p w:rsidR="003D10F1" w:rsidRDefault="003D10F1">
      <w:pPr>
        <w:jc w:val="both"/>
      </w:pPr>
    </w:p>
    <w:p w:rsidR="003D10F1" w:rsidRDefault="00A3790B">
      <w:pPr>
        <w:ind w:firstLine="567"/>
        <w:rPr>
          <w:b/>
        </w:rPr>
      </w:pPr>
      <w:r>
        <w:rPr>
          <w:b/>
        </w:rPr>
        <w:t>7.Анализ расходования средств резервного фонда администрации сельского поселения</w:t>
      </w:r>
    </w:p>
    <w:p w:rsidR="003D10F1" w:rsidRDefault="00A3790B">
      <w:pPr>
        <w:ind w:firstLine="709"/>
        <w:jc w:val="both"/>
      </w:pPr>
      <w:r>
        <w:t>Согласно отчета об использовании бюджетных ассигнований резервного фонда выплаты в 2024 году не производились.</w:t>
      </w:r>
    </w:p>
    <w:p w:rsidR="003D10F1" w:rsidRDefault="003D10F1">
      <w:pPr>
        <w:jc w:val="both"/>
      </w:pPr>
    </w:p>
    <w:p w:rsidR="003D10F1" w:rsidRDefault="00A3790B">
      <w:pPr>
        <w:jc w:val="center"/>
        <w:rPr>
          <w:b/>
        </w:rPr>
      </w:pPr>
      <w:r>
        <w:rPr>
          <w:b/>
        </w:rPr>
        <w:t>8. Анализ расходования средств дорожно</w:t>
      </w:r>
      <w:r>
        <w:rPr>
          <w:b/>
        </w:rPr>
        <w:t xml:space="preserve">го фонда бюджета </w:t>
      </w:r>
      <w:r>
        <w:rPr>
          <w:b/>
          <w:color w:val="333333"/>
        </w:rPr>
        <w:t>Еремеев</w:t>
      </w:r>
      <w:r>
        <w:rPr>
          <w:b/>
        </w:rPr>
        <w:t>ского сельского поселения</w:t>
      </w:r>
    </w:p>
    <w:p w:rsidR="003D10F1" w:rsidRDefault="00A3790B">
      <w:pPr>
        <w:pStyle w:val="ac"/>
        <w:widowControl w:val="0"/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Остаток средств дорожного фонда </w:t>
      </w:r>
      <w:r>
        <w:rPr>
          <w:rFonts w:ascii="Times New Roman" w:hAnsi="Times New Roman"/>
          <w:color w:val="333333"/>
          <w:sz w:val="24"/>
          <w:szCs w:val="24"/>
        </w:rPr>
        <w:t>Еремеев</w:t>
      </w:r>
      <w:r>
        <w:rPr>
          <w:rFonts w:ascii="Times New Roman" w:hAnsi="Times New Roman"/>
          <w:sz w:val="24"/>
          <w:szCs w:val="24"/>
        </w:rPr>
        <w:t>ского сельского поселения на 01.01.2024г составил 577 382,61 рублей.</w:t>
      </w:r>
    </w:p>
    <w:p w:rsidR="003D10F1" w:rsidRDefault="00A3790B">
      <w:pPr>
        <w:pStyle w:val="ac"/>
        <w:widowControl w:val="0"/>
        <w:spacing w:line="240" w:lineRule="auto"/>
        <w:ind w:left="0" w:right="-1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Поступление доходов от акцизов на нефтепродукты выполнены обеспечены в сумме 2 151 892,34 рублей.</w:t>
      </w:r>
    </w:p>
    <w:p w:rsidR="003D10F1" w:rsidRDefault="00A3790B">
      <w:pPr>
        <w:pStyle w:val="ac"/>
        <w:widowControl w:val="0"/>
        <w:spacing w:line="240" w:lineRule="auto"/>
        <w:ind w:left="0" w:right="-1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дорожного фонда составили </w:t>
      </w:r>
      <w:bookmarkStart w:id="2" w:name="OLE_LINK16"/>
      <w:bookmarkStart w:id="3" w:name="OLE_LINK15"/>
      <w:r>
        <w:rPr>
          <w:rFonts w:ascii="Times New Roman" w:hAnsi="Times New Roman"/>
          <w:sz w:val="24"/>
          <w:szCs w:val="24"/>
        </w:rPr>
        <w:t xml:space="preserve">1 712 492,80 рублей рублей </w:t>
      </w:r>
      <w:bookmarkEnd w:id="2"/>
      <w:bookmarkEnd w:id="3"/>
      <w:r>
        <w:rPr>
          <w:rFonts w:ascii="Times New Roman" w:hAnsi="Times New Roman"/>
          <w:sz w:val="24"/>
          <w:szCs w:val="24"/>
        </w:rPr>
        <w:t>.</w:t>
      </w:r>
    </w:p>
    <w:p w:rsidR="003D10F1" w:rsidRDefault="00A3790B">
      <w:pPr>
        <w:pStyle w:val="ac"/>
        <w:widowControl w:val="0"/>
        <w:spacing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Остаток средств на едином счете поселения на конец отчетного периода составил </w:t>
      </w:r>
      <w:r>
        <w:rPr>
          <w:rFonts w:ascii="Times New Roman" w:hAnsi="Times New Roman"/>
          <w:sz w:val="24"/>
          <w:szCs w:val="24"/>
        </w:rPr>
        <w:t>1 781 812,50</w:t>
      </w:r>
      <w:r>
        <w:rPr>
          <w:rFonts w:ascii="Times New Roman" w:hAnsi="Times New Roman"/>
          <w:sz w:val="24"/>
          <w:szCs w:val="24"/>
        </w:rPr>
        <w:t xml:space="preserve"> рублей из них средства дорожного фонда 0,00 рублей (остаток 577 382,61 +акцизы 2 151 892,34 - расход 2</w:t>
      </w:r>
      <w:r>
        <w:rPr>
          <w:rFonts w:ascii="Times New Roman" w:hAnsi="Times New Roman"/>
          <w:sz w:val="24"/>
          <w:szCs w:val="24"/>
        </w:rPr>
        <w:t xml:space="preserve"> 909 362,79).</w:t>
      </w:r>
    </w:p>
    <w:p w:rsidR="003D10F1" w:rsidRDefault="00A3790B">
      <w:pPr>
        <w:pStyle w:val="ac"/>
        <w:widowControl w:val="0"/>
        <w:spacing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Отчетом об использовании бюджетных ассигнований дорожного фонда представлена информация о направлениях использования средств,расход средств произведен в целевом назначении.</w:t>
      </w:r>
    </w:p>
    <w:p w:rsidR="003D10F1" w:rsidRDefault="00A3790B">
      <w:pPr>
        <w:jc w:val="center"/>
        <w:rPr>
          <w:b/>
        </w:rPr>
      </w:pPr>
      <w:r>
        <w:rPr>
          <w:b/>
        </w:rPr>
        <w:t xml:space="preserve">9.Результаты внешней проверки годовой бюджетной отчетности </w:t>
      </w:r>
      <w:r>
        <w:rPr>
          <w:b/>
          <w:color w:val="333333"/>
        </w:rPr>
        <w:t>Еремеев</w:t>
      </w:r>
      <w:r>
        <w:rPr>
          <w:b/>
        </w:rPr>
        <w:t>ско</w:t>
      </w:r>
      <w:r>
        <w:rPr>
          <w:b/>
        </w:rPr>
        <w:t>го сельского поселения.</w:t>
      </w:r>
    </w:p>
    <w:p w:rsidR="003D10F1" w:rsidRDefault="00A3790B">
      <w:pPr>
        <w:ind w:firstLine="709"/>
        <w:jc w:val="both"/>
        <w:rPr>
          <w:b/>
        </w:rPr>
      </w:pPr>
      <w:r>
        <w:t>Оценка достоверности, полноты и своевременности предоставления бюджетной отчетности в составе форм, предусмотренных Инструкцией №191н, осуществлялась путем анализа бюджетной отчетности предоставленной главным администратором доходов</w:t>
      </w:r>
      <w:r>
        <w:t xml:space="preserve"> бюджета, администратора источника финансирования дефицита бюджета, главного распорядителя, получателя бюджетных средств: Администрацией </w:t>
      </w:r>
      <w:r>
        <w:rPr>
          <w:color w:val="333333"/>
        </w:rPr>
        <w:t>Еремеев</w:t>
      </w:r>
      <w:r>
        <w:t>ского сельского поселения.</w:t>
      </w:r>
    </w:p>
    <w:p w:rsidR="003D10F1" w:rsidRDefault="00A3790B">
      <w:pPr>
        <w:ind w:firstLine="709"/>
        <w:jc w:val="both"/>
      </w:pPr>
      <w:r>
        <w:t>По результатам внешней проверки бюджетной отчетности составлено Заключение №7 от 22.0</w:t>
      </w:r>
      <w:r>
        <w:t>3.2025г, в результате проверки отчетность признана достоверной.</w:t>
      </w:r>
    </w:p>
    <w:p w:rsidR="003D10F1" w:rsidRDefault="003D10F1">
      <w:pPr>
        <w:jc w:val="both"/>
      </w:pPr>
    </w:p>
    <w:p w:rsidR="003D10F1" w:rsidRDefault="00A3790B">
      <w:pPr>
        <w:jc w:val="center"/>
        <w:rPr>
          <w:b/>
        </w:rPr>
      </w:pPr>
      <w:r>
        <w:rPr>
          <w:b/>
        </w:rPr>
        <w:t>10.Выводы.</w:t>
      </w:r>
    </w:p>
    <w:p w:rsidR="003D10F1" w:rsidRDefault="00A3790B">
      <w:pPr>
        <w:ind w:firstLine="709"/>
        <w:jc w:val="both"/>
      </w:pPr>
      <w:r>
        <w:t xml:space="preserve">1.Бюджет </w:t>
      </w:r>
      <w:r>
        <w:rPr>
          <w:color w:val="333333"/>
        </w:rPr>
        <w:t>Еремеев</w:t>
      </w:r>
      <w:r>
        <w:t>ского сельского поселения за 2023 год по доходам исполнен на 98,07% , фактически поступило в бюджет 22 987 697,04 рублей.</w:t>
      </w:r>
    </w:p>
    <w:p w:rsidR="003D10F1" w:rsidRDefault="00A3790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источником дохода бюджета поселения являются земельный налог, налог на товары (работы, услуги) реализуемые на территории РФ, доходы от  использования имущества находящегося в муниципальной собственности. Безвозмездные поступления имеют долю в стру</w:t>
      </w:r>
      <w:r>
        <w:rPr>
          <w:rFonts w:ascii="Times New Roman" w:hAnsi="Times New Roman"/>
          <w:sz w:val="24"/>
          <w:szCs w:val="24"/>
        </w:rPr>
        <w:t xml:space="preserve">ктуре доходов 65,98%. </w:t>
      </w:r>
    </w:p>
    <w:p w:rsidR="003D10F1" w:rsidRDefault="00A3790B">
      <w:pPr>
        <w:ind w:firstLine="709"/>
        <w:jc w:val="both"/>
      </w:pPr>
      <w:r>
        <w:t>2. Недоимка по платежам в бюджет поселения на 01.01.2025г составила 401 730,73 рублей (налог на имущество, земельный налог-администратор УФНС)</w:t>
      </w:r>
      <w:r>
        <w:rPr>
          <w:bCs/>
          <w:color w:val="333333"/>
        </w:rPr>
        <w:t xml:space="preserve">. </w:t>
      </w:r>
      <w:r>
        <w:rPr>
          <w:bCs/>
        </w:rPr>
        <w:t xml:space="preserve">Имеется </w:t>
      </w:r>
      <w:r>
        <w:rPr>
          <w:bCs/>
        </w:rPr>
        <w:lastRenderedPageBreak/>
        <w:t>просроченная задолженность в сумме 5 003 133,77 рублей за пользование муниципальн</w:t>
      </w:r>
      <w:r>
        <w:rPr>
          <w:bCs/>
        </w:rPr>
        <w:t>ым имуществом, по договору за размещение нестационарного имущества в сумме 3 200,00 рублей (администратор Администрация Еремеевского сельского поселения).  Администрацией Еремеевского сельского поселения ведется претензионная работа по возврату просроченно</w:t>
      </w:r>
      <w:r>
        <w:rPr>
          <w:bCs/>
        </w:rPr>
        <w:t>й задолженности.</w:t>
      </w:r>
    </w:p>
    <w:p w:rsidR="003D10F1" w:rsidRDefault="00A3790B">
      <w:pPr>
        <w:ind w:firstLine="709"/>
        <w:jc w:val="both"/>
      </w:pPr>
      <w:r>
        <w:t>3. Расходы бюджета исполнены в сумме 24 951 298,56 рублей или 98,93%, не исполнено бюджетных назначений в сумме 270 690,72 рублей.</w:t>
      </w:r>
    </w:p>
    <w:p w:rsidR="003D10F1" w:rsidRDefault="00A3790B">
      <w:pPr>
        <w:widowControl w:val="0"/>
        <w:ind w:firstLine="709"/>
        <w:jc w:val="both"/>
      </w:pPr>
      <w:r>
        <w:t xml:space="preserve">Основная доля расходов бюджета поселения приходится на разделы  «Общегосударственные вопросы»-20,83%,  </w:t>
      </w:r>
      <w:r>
        <w:t>«Национальная экономика»-46,82%, «Жилищно-коммунальное хозяйство»-20,40%.</w:t>
      </w:r>
    </w:p>
    <w:p w:rsidR="003D10F1" w:rsidRDefault="00A3790B">
      <w:pPr>
        <w:widowControl w:val="0"/>
        <w:ind w:firstLine="709"/>
        <w:jc w:val="both"/>
      </w:pPr>
      <w:r>
        <w:t>В структуре расходов бюджета расходы на финансирование социально-культурной сферы имеют 9,81% в общей структуре расходов и составляют 2 448 776,11 рублей (образование, культура, соци</w:t>
      </w:r>
      <w:r>
        <w:t>альная политика, физическая культура и спорт).</w:t>
      </w:r>
    </w:p>
    <w:p w:rsidR="003D10F1" w:rsidRDefault="00A3790B">
      <w:pPr>
        <w:widowControl w:val="0"/>
        <w:ind w:firstLine="709"/>
        <w:jc w:val="both"/>
      </w:pPr>
      <w:r>
        <w:t>На исполнение публичных нормативных обязательств направлено 292 855,68 рублей.</w:t>
      </w:r>
    </w:p>
    <w:p w:rsidR="003D10F1" w:rsidRDefault="00A3790B">
      <w:pPr>
        <w:widowControl w:val="0"/>
        <w:ind w:firstLine="709"/>
        <w:jc w:val="both"/>
      </w:pPr>
      <w:r>
        <w:t>Финансирование бюджетных обязательств производилось в рамках утве</w:t>
      </w:r>
      <w:r>
        <w:t>ржденных  муниципальных программ.</w:t>
      </w:r>
    </w:p>
    <w:p w:rsidR="003D10F1" w:rsidRDefault="00A3790B">
      <w:pPr>
        <w:widowControl w:val="0"/>
        <w:ind w:firstLine="709"/>
        <w:jc w:val="both"/>
      </w:pPr>
      <w:r>
        <w:t>Установлено неэффективное испол</w:t>
      </w:r>
      <w:r>
        <w:t xml:space="preserve">ьзование бюджетных средств в результате оплаты </w:t>
      </w:r>
      <w:r>
        <w:t xml:space="preserve">штрафа </w:t>
      </w:r>
      <w:r>
        <w:t>за нарушение законодательства о закупках и нарушение условий контрактов (договоров) в сумме 3 095,11 рублей (в нарушение ст. 34 БК РФ).</w:t>
      </w:r>
    </w:p>
    <w:p w:rsidR="003D10F1" w:rsidRDefault="00A3790B">
      <w:pPr>
        <w:pStyle w:val="western"/>
        <w:spacing w:beforeAutospacing="0" w:after="0" w:line="240" w:lineRule="auto"/>
        <w:ind w:firstLine="709"/>
      </w:pPr>
      <w:r>
        <w:rPr>
          <w:rFonts w:eastAsia="Calibri"/>
        </w:rPr>
        <w:t>4. При исполнении бюджета поселения по завершению финансового года</w:t>
      </w:r>
      <w:r>
        <w:rPr>
          <w:rFonts w:eastAsia="Calibri"/>
        </w:rPr>
        <w:t xml:space="preserve"> сложился дефицит в размере 1 963 601,52 рублей. Источник финансирования дефицита бюджета снижение </w:t>
      </w:r>
      <w:r>
        <w:t>остатков средств на счетах по учету средств местного бюджета.</w:t>
      </w:r>
    </w:p>
    <w:p w:rsidR="003D10F1" w:rsidRDefault="00A3790B">
      <w:pPr>
        <w:tabs>
          <w:tab w:val="left" w:pos="851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5. Бюджетная отчетность администрации муниципального образования </w:t>
      </w:r>
      <w:r>
        <w:rPr>
          <w:color w:val="333333"/>
        </w:rPr>
        <w:t>Еремеев</w:t>
      </w:r>
      <w:r>
        <w:rPr>
          <w:rFonts w:eastAsia="Calibri"/>
        </w:rPr>
        <w:t>ское сельское поселение</w:t>
      </w:r>
      <w:r>
        <w:rPr>
          <w:rFonts w:eastAsia="Calibri"/>
        </w:rPr>
        <w:t xml:space="preserve"> признана достоверной. </w:t>
      </w:r>
    </w:p>
    <w:p w:rsidR="003D10F1" w:rsidRDefault="00A3790B">
      <w:pPr>
        <w:ind w:firstLine="709"/>
        <w:jc w:val="both"/>
        <w:rPr>
          <w:rFonts w:eastAsia="Calibri"/>
        </w:rPr>
      </w:pPr>
      <w:r>
        <w:rPr>
          <w:rFonts w:eastAsia="Calibri"/>
        </w:rPr>
        <w:t>6.</w:t>
      </w:r>
      <w:r w:rsidR="0025190E">
        <w:rPr>
          <w:rFonts w:eastAsia="Calibri"/>
        </w:rPr>
        <w:t xml:space="preserve"> </w:t>
      </w:r>
      <w:r>
        <w:rPr>
          <w:rFonts w:eastAsia="Calibri"/>
        </w:rPr>
        <w:t xml:space="preserve">Проект решения Совета депутатов муниципального образования </w:t>
      </w:r>
      <w:r>
        <w:rPr>
          <w:color w:val="333333"/>
        </w:rPr>
        <w:t>Еремеев</w:t>
      </w:r>
      <w:r>
        <w:rPr>
          <w:rFonts w:eastAsia="Calibri"/>
        </w:rPr>
        <w:t>ского сельского поселения «Об исполнении бюджета за 2024 год» отражает достоверно кассовое исполнение доходов, расходов и источников финансирования дефицита бюджета</w:t>
      </w:r>
      <w:r>
        <w:rPr>
          <w:rFonts w:eastAsia="Calibri"/>
        </w:rPr>
        <w:t xml:space="preserve"> поселения за период с 01 января по 31 декабря 2024 года.</w:t>
      </w:r>
    </w:p>
    <w:p w:rsidR="003D10F1" w:rsidRDefault="00A3790B">
      <w:pPr>
        <w:pStyle w:val="western"/>
        <w:spacing w:before="278" w:beforeAutospacing="0" w:after="278" w:line="240" w:lineRule="auto"/>
      </w:pPr>
      <w:r>
        <w:rPr>
          <w:i/>
          <w:iCs/>
        </w:rPr>
        <w:t>Контрольно-счетный орган муниципального образования считает возможным предл</w:t>
      </w:r>
      <w:r>
        <w:rPr>
          <w:i/>
          <w:iCs/>
        </w:rPr>
        <w:t>о</w:t>
      </w:r>
      <w:r>
        <w:rPr>
          <w:i/>
          <w:iCs/>
        </w:rPr>
        <w:t>жить Совету депутатов рассмотреть отчет «об исполнении бюджета Еремеевского сельского  поселения за 2024 год».</w:t>
      </w:r>
    </w:p>
    <w:p w:rsidR="003D10F1" w:rsidRDefault="003D10F1">
      <w:pPr>
        <w:pStyle w:val="western"/>
        <w:spacing w:before="278" w:beforeAutospacing="0" w:after="278" w:line="240" w:lineRule="auto"/>
        <w:rPr>
          <w:i/>
          <w:iCs/>
        </w:rPr>
      </w:pPr>
    </w:p>
    <w:p w:rsidR="003D10F1" w:rsidRDefault="00A3790B">
      <w:pPr>
        <w:jc w:val="both"/>
      </w:pPr>
      <w:r>
        <w:t>Председате</w:t>
      </w:r>
      <w:r>
        <w:t>ль                                                                                                            Е.В.Галаган</w:t>
      </w:r>
    </w:p>
    <w:p w:rsidR="003D10F1" w:rsidRDefault="003D10F1">
      <w:pPr>
        <w:spacing w:after="120"/>
        <w:jc w:val="both"/>
      </w:pPr>
    </w:p>
    <w:sectPr w:rsidR="003D10F1" w:rsidSect="003D10F1">
      <w:headerReference w:type="default" r:id="rId9"/>
      <w:headerReference w:type="first" r:id="rId10"/>
      <w:pgSz w:w="11906" w:h="16838"/>
      <w:pgMar w:top="1134" w:right="850" w:bottom="1134" w:left="1701" w:header="567" w:footer="567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90B" w:rsidRDefault="00A3790B" w:rsidP="003D10F1">
      <w:r>
        <w:separator/>
      </w:r>
    </w:p>
  </w:endnote>
  <w:endnote w:type="continuationSeparator" w:id="1">
    <w:p w:rsidR="00A3790B" w:rsidRDefault="00A3790B" w:rsidP="003D1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90B" w:rsidRDefault="00A3790B" w:rsidP="003D10F1">
      <w:r>
        <w:separator/>
      </w:r>
    </w:p>
  </w:footnote>
  <w:footnote w:type="continuationSeparator" w:id="1">
    <w:p w:rsidR="00A3790B" w:rsidRDefault="00A3790B" w:rsidP="003D10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0F1" w:rsidRDefault="00A3790B">
    <w:pPr>
      <w:pStyle w:val="10"/>
      <w:tabs>
        <w:tab w:val="left" w:pos="782"/>
      </w:tabs>
    </w:pPr>
    <w:r>
      <w:tab/>
    </w:r>
    <w:r>
      <w:tab/>
    </w:r>
    <w:r w:rsidR="003D10F1">
      <w:fldChar w:fldCharType="begin"/>
    </w:r>
    <w:r>
      <w:instrText xml:space="preserve"> PAGE </w:instrText>
    </w:r>
    <w:r w:rsidR="003D10F1">
      <w:fldChar w:fldCharType="separate"/>
    </w:r>
    <w:r w:rsidR="0025190E">
      <w:rPr>
        <w:noProof/>
      </w:rPr>
      <w:t>2</w:t>
    </w:r>
    <w:r w:rsidR="003D10F1">
      <w:fldChar w:fldCharType="end"/>
    </w:r>
  </w:p>
  <w:p w:rsidR="003D10F1" w:rsidRDefault="003D10F1">
    <w:pPr>
      <w:pStyle w:val="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0F1" w:rsidRDefault="003D10F1">
    <w:pPr>
      <w:pStyle w:val="10"/>
      <w:jc w:val="center"/>
    </w:pPr>
  </w:p>
  <w:p w:rsidR="003D10F1" w:rsidRDefault="003D10F1">
    <w:pPr>
      <w:pStyle w:val="1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A23C1"/>
    <w:multiLevelType w:val="multilevel"/>
    <w:tmpl w:val="D2661112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">
    <w:nsid w:val="2170043D"/>
    <w:multiLevelType w:val="multilevel"/>
    <w:tmpl w:val="1CA8A2B2"/>
    <w:lvl w:ilvl="0">
      <w:start w:val="1"/>
      <w:numFmt w:val="decimal"/>
      <w:lvlText w:val="%1."/>
      <w:lvlJc w:val="left"/>
      <w:pPr>
        <w:tabs>
          <w:tab w:val="num" w:pos="0"/>
        </w:tabs>
        <w:ind w:left="33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7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8" w:hanging="180"/>
      </w:pPr>
    </w:lvl>
  </w:abstractNum>
  <w:abstractNum w:abstractNumId="2">
    <w:nsid w:val="2F701F26"/>
    <w:multiLevelType w:val="multilevel"/>
    <w:tmpl w:val="37DAF1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10F1"/>
    <w:rsid w:val="0025190E"/>
    <w:rsid w:val="003D10F1"/>
    <w:rsid w:val="00A37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0D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sid w:val="006111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qFormat/>
    <w:rsid w:val="00936EEC"/>
    <w:rPr>
      <w:sz w:val="24"/>
      <w:szCs w:val="24"/>
    </w:rPr>
  </w:style>
  <w:style w:type="character" w:customStyle="1" w:styleId="a5">
    <w:name w:val="Нижний колонтитул Знак"/>
    <w:uiPriority w:val="99"/>
    <w:qFormat/>
    <w:rsid w:val="00936EEC"/>
    <w:rPr>
      <w:sz w:val="24"/>
      <w:szCs w:val="24"/>
    </w:rPr>
  </w:style>
  <w:style w:type="character" w:styleId="a6">
    <w:name w:val="Strong"/>
    <w:qFormat/>
    <w:rsid w:val="005F4098"/>
    <w:rPr>
      <w:b/>
      <w:bCs/>
    </w:rPr>
  </w:style>
  <w:style w:type="character" w:customStyle="1" w:styleId="a7">
    <w:name w:val="Гипертекстовая ссылка"/>
    <w:basedOn w:val="a0"/>
    <w:uiPriority w:val="99"/>
    <w:qFormat/>
    <w:rsid w:val="00154D57"/>
    <w:rPr>
      <w:color w:val="106BBE"/>
    </w:rPr>
  </w:style>
  <w:style w:type="character" w:customStyle="1" w:styleId="3">
    <w:name w:val="Основной текст с отступом 3 Знак"/>
    <w:basedOn w:val="a0"/>
    <w:qFormat/>
    <w:rsid w:val="00DE4594"/>
    <w:rPr>
      <w:rFonts w:eastAsia="Calibri"/>
      <w:sz w:val="24"/>
    </w:rPr>
  </w:style>
  <w:style w:type="paragraph" w:customStyle="1" w:styleId="a8">
    <w:name w:val="Заголовок"/>
    <w:basedOn w:val="a"/>
    <w:next w:val="a9"/>
    <w:qFormat/>
    <w:rsid w:val="00764AB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9">
    <w:name w:val="Body Text"/>
    <w:basedOn w:val="a"/>
    <w:rsid w:val="00764AB3"/>
    <w:pPr>
      <w:spacing w:after="140" w:line="276" w:lineRule="auto"/>
    </w:pPr>
  </w:style>
  <w:style w:type="paragraph" w:styleId="aa">
    <w:name w:val="List"/>
    <w:basedOn w:val="a9"/>
    <w:rsid w:val="00764AB3"/>
    <w:rPr>
      <w:rFonts w:cs="Lohit Devanagari"/>
    </w:rPr>
  </w:style>
  <w:style w:type="paragraph" w:customStyle="1" w:styleId="1">
    <w:name w:val="Название объекта1"/>
    <w:basedOn w:val="a"/>
    <w:qFormat/>
    <w:rsid w:val="00764AB3"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index heading"/>
    <w:basedOn w:val="a"/>
    <w:qFormat/>
    <w:rsid w:val="00764AB3"/>
    <w:pPr>
      <w:suppressLineNumbers/>
    </w:pPr>
    <w:rPr>
      <w:rFonts w:cs="Lohit Devanagari"/>
    </w:rPr>
  </w:style>
  <w:style w:type="paragraph" w:styleId="ac">
    <w:name w:val="List Paragraph"/>
    <w:basedOn w:val="a"/>
    <w:uiPriority w:val="34"/>
    <w:qFormat/>
    <w:rsid w:val="006C10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alloon Text"/>
    <w:basedOn w:val="a"/>
    <w:qFormat/>
    <w:rsid w:val="006111A4"/>
    <w:rPr>
      <w:rFonts w:ascii="Tahoma" w:hAnsi="Tahoma"/>
      <w:sz w:val="16"/>
      <w:szCs w:val="16"/>
    </w:rPr>
  </w:style>
  <w:style w:type="paragraph" w:customStyle="1" w:styleId="ae">
    <w:name w:val="Верхний и нижний колонтитулы"/>
    <w:basedOn w:val="a"/>
    <w:qFormat/>
    <w:rsid w:val="00764AB3"/>
  </w:style>
  <w:style w:type="paragraph" w:customStyle="1" w:styleId="af">
    <w:name w:val="Колонтитул"/>
    <w:basedOn w:val="a"/>
    <w:qFormat/>
    <w:rsid w:val="00445665"/>
  </w:style>
  <w:style w:type="paragraph" w:customStyle="1" w:styleId="HeaderandFooter">
    <w:name w:val="Header and Footer"/>
    <w:basedOn w:val="a"/>
    <w:qFormat/>
    <w:rsid w:val="003D10F1"/>
  </w:style>
  <w:style w:type="paragraph" w:customStyle="1" w:styleId="10">
    <w:name w:val="Верхний колонтитул1"/>
    <w:basedOn w:val="a"/>
    <w:uiPriority w:val="99"/>
    <w:rsid w:val="00936EEC"/>
    <w:pPr>
      <w:tabs>
        <w:tab w:val="center" w:pos="4677"/>
        <w:tab w:val="right" w:pos="9355"/>
      </w:tabs>
    </w:pPr>
  </w:style>
  <w:style w:type="paragraph" w:customStyle="1" w:styleId="11">
    <w:name w:val="Нижний колонтитул1"/>
    <w:basedOn w:val="a"/>
    <w:uiPriority w:val="99"/>
    <w:rsid w:val="00936E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BB40CC"/>
    <w:pPr>
      <w:widowControl w:val="0"/>
      <w:ind w:firstLine="720"/>
    </w:pPr>
    <w:rPr>
      <w:rFonts w:ascii="Arial" w:hAnsi="Arial" w:cs="Arial"/>
      <w:sz w:val="24"/>
    </w:rPr>
  </w:style>
  <w:style w:type="paragraph" w:styleId="af0">
    <w:name w:val="Normal (Web)"/>
    <w:basedOn w:val="a"/>
    <w:uiPriority w:val="99"/>
    <w:unhideWhenUsed/>
    <w:qFormat/>
    <w:rsid w:val="0021444B"/>
    <w:pPr>
      <w:spacing w:beforeAutospacing="1" w:afterAutospacing="1"/>
    </w:pPr>
  </w:style>
  <w:style w:type="paragraph" w:styleId="30">
    <w:name w:val="Body Text Indent 3"/>
    <w:basedOn w:val="a"/>
    <w:qFormat/>
    <w:rsid w:val="00DE4594"/>
    <w:pPr>
      <w:ind w:left="142" w:hanging="142"/>
      <w:jc w:val="both"/>
    </w:pPr>
    <w:rPr>
      <w:rFonts w:eastAsia="Calibri"/>
      <w:szCs w:val="20"/>
    </w:rPr>
  </w:style>
  <w:style w:type="paragraph" w:customStyle="1" w:styleId="af1">
    <w:name w:val="Содержимое таблицы"/>
    <w:basedOn w:val="a"/>
    <w:qFormat/>
    <w:rsid w:val="00764AB3"/>
    <w:pPr>
      <w:suppressLineNumbers/>
    </w:pPr>
  </w:style>
  <w:style w:type="paragraph" w:customStyle="1" w:styleId="af2">
    <w:name w:val="Заголовок таблицы"/>
    <w:basedOn w:val="af1"/>
    <w:qFormat/>
    <w:rsid w:val="00764AB3"/>
    <w:pPr>
      <w:jc w:val="center"/>
    </w:pPr>
    <w:rPr>
      <w:b/>
      <w:bCs/>
    </w:rPr>
  </w:style>
  <w:style w:type="paragraph" w:customStyle="1" w:styleId="western">
    <w:name w:val="western"/>
    <w:basedOn w:val="a"/>
    <w:qFormat/>
    <w:rsid w:val="00E26907"/>
    <w:pPr>
      <w:suppressAutoHyphens w:val="0"/>
      <w:spacing w:beforeAutospacing="1" w:after="142" w:line="276" w:lineRule="auto"/>
    </w:pPr>
    <w:rPr>
      <w:color w:val="000000"/>
    </w:rPr>
  </w:style>
  <w:style w:type="numbering" w:customStyle="1" w:styleId="af3">
    <w:name w:val="Без списка"/>
    <w:uiPriority w:val="99"/>
    <w:semiHidden/>
    <w:unhideWhenUsed/>
    <w:qFormat/>
    <w:rsid w:val="003D10F1"/>
  </w:style>
  <w:style w:type="table" w:styleId="af4">
    <w:name w:val="Table Grid"/>
    <w:basedOn w:val="a1"/>
    <w:rsid w:val="00E47C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8A67-0D29-4013-83FA-F1B0A3F09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10</Pages>
  <Words>4274</Words>
  <Characters>24362</Characters>
  <Application>Microsoft Office Word</Application>
  <DocSecurity>0</DocSecurity>
  <Lines>203</Lines>
  <Paragraphs>57</Paragraphs>
  <ScaleCrop>false</ScaleCrop>
  <Company>MoBIL GROUP</Company>
  <LinksUpToDate>false</LinksUpToDate>
  <CharactersWithSpaces>28579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JetGame</cp:lastModifiedBy>
  <cp:revision>20</cp:revision>
  <cp:lastPrinted>2024-04-08T15:09:00Z</cp:lastPrinted>
  <dcterms:created xsi:type="dcterms:W3CDTF">2025-03-23T03:16:00Z</dcterms:created>
  <dcterms:modified xsi:type="dcterms:W3CDTF">2025-03-24T09:48:00Z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