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38B" w:rsidRPr="00B1438B" w:rsidRDefault="00B1438B" w:rsidP="00B143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38B">
        <w:rPr>
          <w:rFonts w:ascii="Times New Roman" w:hAnsi="Times New Roman" w:cs="Times New Roman"/>
          <w:b/>
          <w:sz w:val="24"/>
          <w:szCs w:val="24"/>
        </w:rPr>
        <w:t>СОВЕТ ЕРЕМЕЕВСКОГО СЕЛЬСКОГО ПОСЕЛЕНИЯ</w:t>
      </w:r>
    </w:p>
    <w:p w:rsidR="00B1438B" w:rsidRPr="00B1438B" w:rsidRDefault="00B1438B" w:rsidP="00B143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38B">
        <w:rPr>
          <w:rFonts w:ascii="Times New Roman" w:hAnsi="Times New Roman" w:cs="Times New Roman"/>
          <w:b/>
          <w:sz w:val="24"/>
          <w:szCs w:val="24"/>
        </w:rPr>
        <w:t>ПОЛТАВСКОГО МУНИЦИПАЛЬНОГО РАЙОНА ОМСКОЙ ОБЛАСТИ</w:t>
      </w:r>
    </w:p>
    <w:p w:rsidR="00B1438B" w:rsidRDefault="00B1438B" w:rsidP="00B1438B">
      <w:pPr>
        <w:tabs>
          <w:tab w:val="left" w:pos="714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1438B" w:rsidRPr="00B1438B" w:rsidRDefault="00B1438B" w:rsidP="00B1438B">
      <w:pPr>
        <w:tabs>
          <w:tab w:val="left" w:pos="714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B1438B" w:rsidRPr="00B1438B" w:rsidRDefault="00B1438B" w:rsidP="00B143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38B"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</w:p>
    <w:p w:rsidR="00B1438B" w:rsidRPr="001C6E20" w:rsidRDefault="00B1438B" w:rsidP="00B143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38B" w:rsidRPr="001C6E20" w:rsidRDefault="00B1438B" w:rsidP="00B143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B1438B" w:rsidRPr="001C6E20" w:rsidRDefault="00B1438B" w:rsidP="00B143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6E20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>27 ноября</w:t>
      </w:r>
      <w:r w:rsidRPr="001C6E20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C6E20">
        <w:rPr>
          <w:rFonts w:ascii="Times New Roman" w:hAnsi="Times New Roman" w:cs="Times New Roman"/>
          <w:sz w:val="24"/>
          <w:szCs w:val="24"/>
        </w:rPr>
        <w:t xml:space="preserve"> года                                     </w:t>
      </w:r>
      <w:r w:rsidRPr="001C6E20">
        <w:rPr>
          <w:rFonts w:ascii="Times New Roman" w:hAnsi="Times New Roman" w:cs="Times New Roman"/>
          <w:sz w:val="24"/>
          <w:szCs w:val="24"/>
        </w:rPr>
        <w:tab/>
      </w:r>
      <w:r w:rsidRPr="001C6E20">
        <w:rPr>
          <w:rFonts w:ascii="Times New Roman" w:hAnsi="Times New Roman" w:cs="Times New Roman"/>
          <w:sz w:val="24"/>
          <w:szCs w:val="24"/>
        </w:rPr>
        <w:tab/>
      </w:r>
      <w:r w:rsidRPr="001C6E20">
        <w:rPr>
          <w:rFonts w:ascii="Times New Roman" w:hAnsi="Times New Roman" w:cs="Times New Roman"/>
          <w:sz w:val="24"/>
          <w:szCs w:val="24"/>
        </w:rPr>
        <w:tab/>
      </w:r>
      <w:r w:rsidRPr="001C6E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C6E20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C6E20">
        <w:rPr>
          <w:rFonts w:ascii="Times New Roman" w:hAnsi="Times New Roman" w:cs="Times New Roman"/>
          <w:sz w:val="24"/>
          <w:szCs w:val="24"/>
        </w:rPr>
        <w:t xml:space="preserve">   № </w:t>
      </w:r>
      <w:r>
        <w:rPr>
          <w:rFonts w:ascii="Times New Roman" w:hAnsi="Times New Roman" w:cs="Times New Roman"/>
          <w:sz w:val="24"/>
          <w:szCs w:val="24"/>
        </w:rPr>
        <w:t>45</w:t>
      </w:r>
    </w:p>
    <w:p w:rsidR="00B1438B" w:rsidRPr="001C6E20" w:rsidRDefault="00B1438B" w:rsidP="00B143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438B" w:rsidRPr="001C6E20" w:rsidRDefault="00B1438B" w:rsidP="00B143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1438B" w:rsidRPr="001C6E20" w:rsidRDefault="00B1438B" w:rsidP="00B1438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C6E20">
        <w:rPr>
          <w:rFonts w:ascii="Times New Roman" w:hAnsi="Times New Roman" w:cs="Times New Roman"/>
          <w:sz w:val="24"/>
          <w:szCs w:val="24"/>
        </w:rPr>
        <w:t xml:space="preserve">О заключении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6E20">
        <w:rPr>
          <w:rFonts w:ascii="Times New Roman" w:hAnsi="Times New Roman" w:cs="Times New Roman"/>
          <w:sz w:val="24"/>
          <w:szCs w:val="24"/>
        </w:rPr>
        <w:t xml:space="preserve">контрольно-счетного органа Полтавского муниципального района </w:t>
      </w:r>
      <w:r w:rsidRPr="00472E00">
        <w:rPr>
          <w:rFonts w:ascii="Times New Roman" w:hAnsi="Times New Roman" w:cs="Times New Roman"/>
          <w:sz w:val="24"/>
          <w:szCs w:val="24"/>
        </w:rPr>
        <w:t>№ 59 на</w:t>
      </w:r>
      <w:r w:rsidRPr="002C316F">
        <w:rPr>
          <w:rFonts w:ascii="Times New Roman" w:hAnsi="Times New Roman" w:cs="Times New Roman"/>
          <w:sz w:val="24"/>
          <w:szCs w:val="24"/>
        </w:rPr>
        <w:t xml:space="preserve">  проект решения Совета  Еремеевского сельского поселения Полтавского муниципального</w:t>
      </w:r>
      <w:r w:rsidRPr="001C6E20">
        <w:rPr>
          <w:rFonts w:ascii="Times New Roman" w:hAnsi="Times New Roman" w:cs="Times New Roman"/>
          <w:sz w:val="24"/>
          <w:szCs w:val="24"/>
        </w:rPr>
        <w:t xml:space="preserve"> района «О бюджете  сельского поселения 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C6E2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C6E20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C6E20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B1438B" w:rsidRPr="001C6E20" w:rsidRDefault="00B1438B" w:rsidP="00B1438B">
      <w:pPr>
        <w:spacing w:after="0"/>
        <w:ind w:right="4819"/>
        <w:jc w:val="both"/>
        <w:rPr>
          <w:rFonts w:ascii="Times New Roman" w:hAnsi="Times New Roman" w:cs="Times New Roman"/>
          <w:sz w:val="24"/>
          <w:szCs w:val="24"/>
        </w:rPr>
      </w:pPr>
    </w:p>
    <w:p w:rsidR="00B1438B" w:rsidRPr="001C6E20" w:rsidRDefault="00B1438B" w:rsidP="00B143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438B" w:rsidRPr="001C6E20" w:rsidRDefault="00B1438B" w:rsidP="00B1438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C6E20">
        <w:rPr>
          <w:rFonts w:ascii="Times New Roman" w:hAnsi="Times New Roman" w:cs="Times New Roman"/>
          <w:sz w:val="24"/>
          <w:szCs w:val="24"/>
        </w:rPr>
        <w:t xml:space="preserve">Руководствуясь Бюджетным Кодексом Российской Федерации, Уставом </w:t>
      </w:r>
      <w:r>
        <w:rPr>
          <w:rFonts w:ascii="Times New Roman" w:hAnsi="Times New Roman" w:cs="Times New Roman"/>
          <w:sz w:val="24"/>
          <w:szCs w:val="24"/>
        </w:rPr>
        <w:t>Еремеевского</w:t>
      </w:r>
      <w:r w:rsidRPr="001C6E20">
        <w:rPr>
          <w:rFonts w:ascii="Times New Roman" w:hAnsi="Times New Roman" w:cs="Times New Roman"/>
          <w:sz w:val="24"/>
          <w:szCs w:val="24"/>
        </w:rPr>
        <w:t xml:space="preserve"> сельского поселения, Положением о бюджетном процессе в </w:t>
      </w:r>
      <w:r>
        <w:rPr>
          <w:rFonts w:ascii="Times New Roman" w:hAnsi="Times New Roman" w:cs="Times New Roman"/>
          <w:sz w:val="24"/>
          <w:szCs w:val="24"/>
        </w:rPr>
        <w:t>Еремеесском</w:t>
      </w:r>
      <w:r w:rsidRPr="001C6E20">
        <w:rPr>
          <w:rFonts w:ascii="Times New Roman" w:hAnsi="Times New Roman" w:cs="Times New Roman"/>
          <w:sz w:val="24"/>
          <w:szCs w:val="24"/>
        </w:rPr>
        <w:t xml:space="preserve"> сельском поселении, Положением о контрольно-счетном органе 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Еремеевское</w:t>
      </w:r>
      <w:r w:rsidRPr="001C6E20">
        <w:rPr>
          <w:rFonts w:ascii="Times New Roman" w:hAnsi="Times New Roman" w:cs="Times New Roman"/>
          <w:sz w:val="24"/>
          <w:szCs w:val="24"/>
        </w:rPr>
        <w:t xml:space="preserve"> сельское поселение Полтавского муниципального района Омской области», заслушав выступление председателя контрольно-счетного органа Е.В.Галаган, Совет </w:t>
      </w:r>
      <w:r>
        <w:rPr>
          <w:rFonts w:ascii="Times New Roman" w:hAnsi="Times New Roman" w:cs="Times New Roman"/>
          <w:sz w:val="24"/>
          <w:szCs w:val="24"/>
        </w:rPr>
        <w:t>Еремеевского</w:t>
      </w:r>
      <w:r w:rsidRPr="001C6E2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B1438B" w:rsidRPr="001C6E20" w:rsidRDefault="00B1438B" w:rsidP="00B1438B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438B" w:rsidRPr="001C6E20" w:rsidRDefault="00B1438B" w:rsidP="00B1438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C6E20">
        <w:rPr>
          <w:rFonts w:ascii="Times New Roman" w:hAnsi="Times New Roman" w:cs="Times New Roman"/>
          <w:sz w:val="24"/>
          <w:szCs w:val="24"/>
        </w:rPr>
        <w:t>РЕШИЛ:</w:t>
      </w:r>
    </w:p>
    <w:p w:rsidR="00B1438B" w:rsidRPr="001C6E20" w:rsidRDefault="00B1438B" w:rsidP="00B1438B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438B" w:rsidRPr="00472E00" w:rsidRDefault="00B1438B" w:rsidP="00B14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16F">
        <w:rPr>
          <w:rFonts w:ascii="Times New Roman" w:hAnsi="Times New Roman" w:cs="Times New Roman"/>
          <w:sz w:val="24"/>
          <w:szCs w:val="24"/>
        </w:rPr>
        <w:t>1</w:t>
      </w:r>
      <w:r w:rsidRPr="00472E00">
        <w:rPr>
          <w:rFonts w:ascii="Times New Roman" w:hAnsi="Times New Roman" w:cs="Times New Roman"/>
          <w:sz w:val="24"/>
          <w:szCs w:val="24"/>
        </w:rPr>
        <w:t>. Заключение  № 59 контрольно-счетного органа муниципального образования  на проект решения Совета Еремеевского сельского поселения Полтавского муниципального района «О проекте решения о бюджете сельского поселения на 2025 год и плановый период 2026 и 2027 годов» принять к сведению (прилагается).</w:t>
      </w:r>
    </w:p>
    <w:p w:rsidR="00B1438B" w:rsidRPr="001C6E20" w:rsidRDefault="00B1438B" w:rsidP="00B1438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2E00">
        <w:rPr>
          <w:rFonts w:ascii="Times New Roman" w:hAnsi="Times New Roman" w:cs="Times New Roman"/>
          <w:sz w:val="24"/>
          <w:szCs w:val="24"/>
        </w:rPr>
        <w:t>2. Настоящее решение опубликовать (обнародовать).</w:t>
      </w:r>
    </w:p>
    <w:p w:rsidR="00B1438B" w:rsidRPr="001C6E20" w:rsidRDefault="00B1438B" w:rsidP="00B1438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1438B" w:rsidRPr="001C6E20" w:rsidRDefault="00B1438B" w:rsidP="00B1438B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1C6E20">
        <w:rPr>
          <w:rFonts w:ascii="Times New Roman" w:hAnsi="Times New Roman" w:cs="Times New Roman"/>
          <w:sz w:val="24"/>
          <w:szCs w:val="24"/>
        </w:rPr>
        <w:tab/>
      </w:r>
    </w:p>
    <w:p w:rsidR="00B1438B" w:rsidRPr="00A777D8" w:rsidRDefault="00B1438B" w:rsidP="00B14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7D8">
        <w:rPr>
          <w:rFonts w:ascii="Times New Roman" w:hAnsi="Times New Roman" w:cs="Times New Roman"/>
          <w:sz w:val="24"/>
          <w:szCs w:val="24"/>
        </w:rPr>
        <w:t>Глава Еремеевского сельского поселения</w:t>
      </w:r>
    </w:p>
    <w:p w:rsidR="00B1438B" w:rsidRPr="00A777D8" w:rsidRDefault="00B1438B" w:rsidP="00B14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7D8">
        <w:rPr>
          <w:rFonts w:ascii="Times New Roman" w:hAnsi="Times New Roman" w:cs="Times New Roman"/>
          <w:sz w:val="24"/>
          <w:szCs w:val="24"/>
        </w:rPr>
        <w:t xml:space="preserve">Полтавского муниципального района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777D8">
        <w:rPr>
          <w:rFonts w:ascii="Times New Roman" w:hAnsi="Times New Roman" w:cs="Times New Roman"/>
          <w:sz w:val="24"/>
          <w:szCs w:val="24"/>
        </w:rPr>
        <w:t>К.Ц. Петросян</w:t>
      </w:r>
    </w:p>
    <w:p w:rsidR="00B1438B" w:rsidRPr="00A777D8" w:rsidRDefault="00B1438B" w:rsidP="00B14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38B" w:rsidRPr="00A777D8" w:rsidRDefault="00B1438B" w:rsidP="00B14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38B" w:rsidRPr="00A777D8" w:rsidRDefault="00B1438B" w:rsidP="00B14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7D8">
        <w:rPr>
          <w:rFonts w:ascii="Times New Roman" w:hAnsi="Times New Roman" w:cs="Times New Roman"/>
          <w:sz w:val="24"/>
          <w:szCs w:val="24"/>
        </w:rPr>
        <w:t>Председатель Совета Еремеевского сельского</w:t>
      </w:r>
    </w:p>
    <w:p w:rsidR="00B1438B" w:rsidRPr="00A777D8" w:rsidRDefault="00B1438B" w:rsidP="00B14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A777D8">
        <w:rPr>
          <w:rFonts w:ascii="Times New Roman" w:hAnsi="Times New Roman" w:cs="Times New Roman"/>
          <w:sz w:val="24"/>
          <w:szCs w:val="24"/>
        </w:rPr>
        <w:t>оселения Полтавского муниципального</w:t>
      </w:r>
    </w:p>
    <w:p w:rsidR="00B1438B" w:rsidRPr="00A777D8" w:rsidRDefault="00B1438B" w:rsidP="00B14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A777D8">
        <w:rPr>
          <w:rFonts w:ascii="Times New Roman" w:hAnsi="Times New Roman" w:cs="Times New Roman"/>
          <w:sz w:val="24"/>
          <w:szCs w:val="24"/>
        </w:rPr>
        <w:t xml:space="preserve">айона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777D8">
        <w:rPr>
          <w:rFonts w:ascii="Times New Roman" w:hAnsi="Times New Roman" w:cs="Times New Roman"/>
          <w:sz w:val="24"/>
          <w:szCs w:val="24"/>
        </w:rPr>
        <w:t xml:space="preserve">  Т.М. Литвиненко</w:t>
      </w:r>
    </w:p>
    <w:p w:rsidR="00B1438B" w:rsidRDefault="00B1438B">
      <w:pPr>
        <w:jc w:val="center"/>
      </w:pPr>
    </w:p>
    <w:p w:rsidR="00B1438B" w:rsidRDefault="00B1438B">
      <w:pPr>
        <w:jc w:val="center"/>
      </w:pPr>
    </w:p>
    <w:p w:rsidR="00B1438B" w:rsidRDefault="00B1438B">
      <w:pPr>
        <w:jc w:val="center"/>
      </w:pPr>
    </w:p>
    <w:p w:rsidR="00B1438B" w:rsidRDefault="00B1438B">
      <w:pPr>
        <w:jc w:val="center"/>
      </w:pPr>
    </w:p>
    <w:p w:rsidR="00B1438B" w:rsidRDefault="00B1438B">
      <w:pPr>
        <w:jc w:val="center"/>
      </w:pPr>
    </w:p>
    <w:p w:rsidR="00AC7624" w:rsidRDefault="00884339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511810" cy="577850"/>
            <wp:effectExtent l="0" t="0" r="0" b="0"/>
            <wp:docPr id="1" name="Рисунок 1" descr="C:\Users\Баглай\Desktop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Баглай\Desktop\герб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1087" t="9996" r="10921" b="25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7624" w:rsidRDefault="00884339">
      <w:pPr>
        <w:tabs>
          <w:tab w:val="left" w:pos="2310"/>
          <w:tab w:val="center" w:pos="4677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КОНТРОЛЬНО-СЧЕТНЫЙ ОРГАН</w:t>
      </w:r>
    </w:p>
    <w:p w:rsidR="00AC7624" w:rsidRDefault="0088433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C7624" w:rsidRDefault="0088433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«ПОЛТАВСКИЙ МУНИЦИПАЛЬНЫЙ РАЙОН ОМСКОЙ ОБЛАСТИ»</w:t>
      </w:r>
    </w:p>
    <w:p w:rsidR="00AC7624" w:rsidRDefault="00AC76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7624" w:rsidRDefault="00884339">
      <w:pPr>
        <w:spacing w:after="0" w:line="240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Заключение  № 59 </w:t>
      </w:r>
    </w:p>
    <w:p w:rsidR="00AC7624" w:rsidRDefault="00884339">
      <w:pPr>
        <w:spacing w:after="0" w:line="240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 проект решения Совета  Еремеевского сельского поселения Полтавского муниципального района «О бюджете  сельского поселения </w:t>
      </w:r>
    </w:p>
    <w:p w:rsidR="00AC7624" w:rsidRDefault="00884339">
      <w:pPr>
        <w:spacing w:after="0" w:line="240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на 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2026 и 2027 годов».</w:t>
      </w:r>
    </w:p>
    <w:p w:rsidR="00AC7624" w:rsidRDefault="00AC76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7624" w:rsidRDefault="00884339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р.п. Полтавка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15 ноября 2024 г.    </w:t>
      </w:r>
    </w:p>
    <w:p w:rsidR="00AC7624" w:rsidRDefault="0088433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1.Общее положение</w:t>
      </w:r>
    </w:p>
    <w:p w:rsidR="00AC7624" w:rsidRDefault="00AC76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Заключение Контрольно-счетного органа муниципального образовани</w:t>
      </w:r>
      <w:r>
        <w:rPr>
          <w:rFonts w:ascii="Times New Roman" w:hAnsi="Times New Roman" w:cs="Times New Roman"/>
          <w:sz w:val="24"/>
          <w:szCs w:val="24"/>
        </w:rPr>
        <w:t xml:space="preserve">я «Полтавский муниципальный район Омской области»  на проект решения Совета </w:t>
      </w:r>
      <w:bookmarkStart w:id="1" w:name="OLE_LINK3"/>
      <w:bookmarkStart w:id="2" w:name="OLE_LINK2"/>
      <w:bookmarkStart w:id="3" w:name="OLE_LINK1"/>
      <w:r>
        <w:rPr>
          <w:rFonts w:ascii="Times New Roman" w:hAnsi="Times New Roman" w:cs="Times New Roman"/>
          <w:sz w:val="24"/>
          <w:szCs w:val="24"/>
        </w:rPr>
        <w:t>Еремеев</w:t>
      </w:r>
      <w:bookmarkEnd w:id="1"/>
      <w:bookmarkEnd w:id="2"/>
      <w:bookmarkEnd w:id="3"/>
      <w:r>
        <w:rPr>
          <w:rFonts w:ascii="Times New Roman" w:hAnsi="Times New Roman" w:cs="Times New Roman"/>
          <w:sz w:val="24"/>
          <w:szCs w:val="24"/>
        </w:rPr>
        <w:t xml:space="preserve">ского сельского поселения Полтавского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«О бюджете Еремеевского сельского поселения на 2025 год и плановый перио</w:t>
      </w:r>
      <w:r>
        <w:rPr>
          <w:rFonts w:ascii="Times New Roman" w:hAnsi="Times New Roman" w:cs="Times New Roman"/>
          <w:sz w:val="24"/>
          <w:szCs w:val="24"/>
        </w:rPr>
        <w:t>д 2026 и 2027 годов» (далее по тексту – п</w:t>
      </w:r>
      <w:r>
        <w:rPr>
          <w:rFonts w:ascii="Times New Roman" w:hAnsi="Times New Roman" w:cs="Times New Roman"/>
          <w:sz w:val="24"/>
          <w:szCs w:val="24"/>
        </w:rPr>
        <w:t>роект решения или проект бюджета), для рассмотрения в первом чтении  подготовлено в соответствии со статьей 157 Бюджетного кодекса Российской Федерации (далее - БК РФ),  Федеральным  законом от 07.02.2011 года №6-ФЗ «Об общих принципах организации и  деяте</w:t>
      </w:r>
      <w:r>
        <w:rPr>
          <w:rFonts w:ascii="Times New Roman" w:hAnsi="Times New Roman" w:cs="Times New Roman"/>
          <w:sz w:val="24"/>
          <w:szCs w:val="24"/>
        </w:rPr>
        <w:t xml:space="preserve">льности контрольно-счетных органов субъектов Российской Федерации, федеральных территорий и муниципальных образований», Положения о бюджетном процессе в Еремеевском сельском поселении Полтавском муниципальном районе (далее Положение о бюджетном процессе), </w:t>
      </w:r>
      <w:r>
        <w:rPr>
          <w:rFonts w:ascii="Times New Roman" w:hAnsi="Times New Roman" w:cs="Times New Roman"/>
          <w:sz w:val="24"/>
          <w:szCs w:val="24"/>
        </w:rPr>
        <w:t>Положением о Контрольно-счетном органе муниципального образования «Полтавский муниципальный  район Омской области» (далее – Контрольно-счетный орган, Контрольно-счетный орган муниципального образования), утвержденным  решением Совета Полтавского муниципаль</w:t>
      </w:r>
      <w:r>
        <w:rPr>
          <w:rFonts w:ascii="Times New Roman" w:hAnsi="Times New Roman" w:cs="Times New Roman"/>
          <w:sz w:val="24"/>
          <w:szCs w:val="24"/>
        </w:rPr>
        <w:t xml:space="preserve">ного района от 31.01.2022 года №3, </w:t>
      </w:r>
      <w:r>
        <w:rPr>
          <w:rFonts w:ascii="Times New Roman" w:hAnsi="Times New Roman" w:cs="Times New Roman"/>
          <w:sz w:val="24"/>
          <w:szCs w:val="24"/>
        </w:rPr>
        <w:t>пункта 2.20 П</w:t>
      </w:r>
      <w:r>
        <w:rPr>
          <w:rFonts w:ascii="Times New Roman" w:hAnsi="Times New Roman" w:cs="Times New Roman"/>
          <w:sz w:val="24"/>
          <w:szCs w:val="24"/>
        </w:rPr>
        <w:t>лана работы Контрольно-счетного органа муниципального образования на 2024 год.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Цель проведения экспертизы – определить соответствие данного проекта решения, документов представленных с проектом решения действ</w:t>
      </w:r>
      <w:r>
        <w:rPr>
          <w:rFonts w:ascii="Times New Roman" w:hAnsi="Times New Roman" w:cs="Times New Roman"/>
          <w:sz w:val="24"/>
          <w:szCs w:val="24"/>
        </w:rPr>
        <w:t>ующему бюджетному законодательству и Положению о бюджетном процессе в Еремеевском сельском поселении Полтавского муниципального района, анализ обоснованности его показателей.</w:t>
      </w:r>
    </w:p>
    <w:p w:rsidR="00AC7624" w:rsidRDefault="0088433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Проект решения о бюджете Еремеевского сельского поселения Полтавского муниципальн</w:t>
      </w:r>
      <w:r>
        <w:rPr>
          <w:rFonts w:ascii="Times New Roman" w:hAnsi="Times New Roman" w:cs="Times New Roman"/>
          <w:sz w:val="24"/>
          <w:szCs w:val="24"/>
        </w:rPr>
        <w:t>ого района на 2025 год и плановый период 2026 и 2027 годов, внесен  администрацией муниципального образования на рассмотрение в Совет Еремеевского сельского поселения Полтавского муниципального района 11 ноября 2024 года, что соответствует статье 11 Положе</w:t>
      </w:r>
      <w:r>
        <w:rPr>
          <w:rFonts w:ascii="Times New Roman" w:hAnsi="Times New Roman" w:cs="Times New Roman"/>
          <w:sz w:val="24"/>
          <w:szCs w:val="24"/>
        </w:rPr>
        <w:t>ния о бюджетном процессе - не позднее 15 ноября текущего года.</w:t>
      </w:r>
    </w:p>
    <w:p w:rsidR="00AC7624" w:rsidRDefault="0088433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и содержание документов, предоставленных одновременно с проектом решения, в основном соответствуют статье 184.2 БК РФ и статье 14 Положения о бюджетном процессе в Еремеевском сельском </w:t>
      </w:r>
      <w:r>
        <w:rPr>
          <w:rFonts w:ascii="Times New Roman" w:hAnsi="Times New Roman" w:cs="Times New Roman"/>
          <w:sz w:val="24"/>
          <w:szCs w:val="24"/>
        </w:rPr>
        <w:t>поселении Полтавского муниципального района Омской области.</w:t>
      </w:r>
    </w:p>
    <w:p w:rsidR="00AC7624" w:rsidRDefault="0088433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Вышеуказанные материалы были представлены в Контрольно – счетный орган 12.11.2024г (письмо председателя Совета Еремеевского сельского поселения Полтавского муниципального района), что соответствуе</w:t>
      </w:r>
      <w:r>
        <w:rPr>
          <w:rFonts w:ascii="Times New Roman" w:hAnsi="Times New Roman" w:cs="Times New Roman"/>
          <w:sz w:val="24"/>
          <w:szCs w:val="24"/>
        </w:rPr>
        <w:t xml:space="preserve">т статье 13 Положения о бюджетном процессе. </w:t>
      </w:r>
    </w:p>
    <w:p w:rsidR="00AC7624" w:rsidRDefault="00AC762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7624" w:rsidRDefault="00AC762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7624" w:rsidRDefault="00884339">
      <w:pPr>
        <w:pStyle w:val="Default"/>
        <w:ind w:firstLine="709"/>
        <w:jc w:val="center"/>
      </w:pPr>
      <w:r>
        <w:rPr>
          <w:b/>
          <w:bCs/>
          <w:color w:val="auto"/>
        </w:rPr>
        <w:t>2. Анализ соответствия проекта бюджета требованиям бюджетного законодательства</w:t>
      </w:r>
    </w:p>
    <w:p w:rsidR="00AC7624" w:rsidRDefault="00AC7624">
      <w:pPr>
        <w:pStyle w:val="Default"/>
        <w:ind w:firstLine="709"/>
        <w:jc w:val="center"/>
        <w:rPr>
          <w:b/>
          <w:bCs/>
          <w:color w:val="auto"/>
        </w:rPr>
      </w:pPr>
    </w:p>
    <w:p w:rsidR="00AC7624" w:rsidRDefault="00884339">
      <w:pPr>
        <w:pStyle w:val="Default"/>
        <w:ind w:firstLine="709"/>
        <w:jc w:val="center"/>
      </w:pPr>
      <w:r>
        <w:rPr>
          <w:b/>
          <w:bCs/>
          <w:color w:val="auto"/>
        </w:rPr>
        <w:t>2.1. Анализ текстовой части проекта бюджета.</w:t>
      </w:r>
    </w:p>
    <w:p w:rsidR="00AC7624" w:rsidRDefault="00884339">
      <w:pPr>
        <w:pStyle w:val="Default"/>
        <w:ind w:firstLine="709"/>
        <w:jc w:val="both"/>
      </w:pPr>
      <w:r>
        <w:rPr>
          <w:color w:val="auto"/>
        </w:rPr>
        <w:t>Проект   бюджета</w:t>
      </w:r>
      <w:r>
        <w:t xml:space="preserve"> Еремеевского сельского поселения</w:t>
      </w:r>
      <w:r>
        <w:rPr>
          <w:color w:val="auto"/>
        </w:rPr>
        <w:t xml:space="preserve"> Полтавского муниципального района </w:t>
      </w:r>
      <w:r>
        <w:t>на 2025 год и плановый период 2026 и 2027 годов</w:t>
      </w:r>
      <w:r>
        <w:rPr>
          <w:color w:val="auto"/>
        </w:rPr>
        <w:t xml:space="preserve"> годов проанализирован на его соответствие требованиям Бюджетного кодекса Российской Федерации, Федерального закона от 06.10.2003 года №131-ФЗ «Об общих принципах организации местного самоуправления», Устава п</w:t>
      </w:r>
      <w:r>
        <w:rPr>
          <w:color w:val="auto"/>
        </w:rPr>
        <w:t xml:space="preserve">оселения, Положения о бюджетном процессе. 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Проектом бюджета  предлагается утвердить 11 текстовых статей бюджета в том числе: 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-статья 1 - основные характеристики бюджета, которые рассматриваются в первом чтении (что соответствует требованиям пункта 1 стать</w:t>
      </w:r>
      <w:r>
        <w:rPr>
          <w:rFonts w:ascii="Times New Roman" w:hAnsi="Times New Roman" w:cs="Times New Roman"/>
          <w:sz w:val="24"/>
          <w:szCs w:val="24"/>
        </w:rPr>
        <w:t>и 184.1 БК РФ, пункту 1 статьи 10 Положения о бюджетном процессе). Экспертиза устанавливает согласованность показателей между статьями и приложениями;</w:t>
      </w:r>
    </w:p>
    <w:p w:rsidR="00AC7624" w:rsidRDefault="00884339">
      <w:pPr>
        <w:spacing w:after="29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-статья 2 - отражает особенности формирования доходов бюджета по классификации доходов бюджетов РФ  налог</w:t>
      </w:r>
      <w:r>
        <w:rPr>
          <w:rFonts w:ascii="Times New Roman" w:hAnsi="Times New Roman" w:cs="Times New Roman"/>
          <w:sz w:val="24"/>
          <w:szCs w:val="24"/>
        </w:rPr>
        <w:t>овых, неналоговых доходов, безвозмездных поступлений в соответствии со ст. 41,61.1,62, 58,184.1 БК РФ;</w:t>
      </w:r>
    </w:p>
    <w:p w:rsidR="00AC7624" w:rsidRDefault="00884339">
      <w:pPr>
        <w:spacing w:after="29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-статья 3 - отражает объем бюджетных ассигнований на исполнение публичных нормативных обязательств; закрепляет размеры дорожного фонда (В соответствии, п</w:t>
      </w:r>
      <w:r>
        <w:rPr>
          <w:rFonts w:ascii="Times New Roman" w:hAnsi="Times New Roman" w:cs="Times New Roman"/>
          <w:sz w:val="24"/>
          <w:szCs w:val="24"/>
        </w:rPr>
        <w:t>унктом 5 статьи 179.4 БК РФ, пунктом 2 статьи 10 Положения о бюджетном процессе); утверждает распределение бюджетных ассигнований (в соответствии с требованиями статьи 184.1 БК РФ, пунктом 2 статьи 11 Положения о бюджетном процессе); устанавливают особенно</w:t>
      </w:r>
      <w:r>
        <w:rPr>
          <w:rFonts w:ascii="Times New Roman" w:hAnsi="Times New Roman" w:cs="Times New Roman"/>
          <w:sz w:val="24"/>
          <w:szCs w:val="24"/>
        </w:rPr>
        <w:t>сти внесения изменений в сводную бюджетную роспись расходов без внесения изменений в бюджет (в соответствии с пунктом 8 статьи 217 БК РФ).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-статья 4 -  устанавливает размер резервного фонда (в соответствии с  ч.3 ст. 81 БК РФ);</w:t>
      </w:r>
    </w:p>
    <w:p w:rsidR="00AC7624" w:rsidRDefault="00884339">
      <w:pPr>
        <w:spacing w:after="29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-статья 5 – определяет особе</w:t>
      </w:r>
      <w:r>
        <w:rPr>
          <w:rFonts w:ascii="Times New Roman" w:hAnsi="Times New Roman" w:cs="Times New Roman"/>
          <w:sz w:val="24"/>
          <w:szCs w:val="24"/>
        </w:rPr>
        <w:t>нности использования бюджетных ассигнований по обеспечению деятельности органов местного самоуправления;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-статья 6 -  утверждается объем межбюджетных отношений (в соответствии с пунктом 3 статьи 184.1 БК РФ, пунктом 2 статьи 11 Положения о бюджетном процес</w:t>
      </w:r>
      <w:r>
        <w:rPr>
          <w:rFonts w:ascii="Times New Roman" w:hAnsi="Times New Roman" w:cs="Times New Roman"/>
          <w:sz w:val="24"/>
          <w:szCs w:val="24"/>
        </w:rPr>
        <w:t>се);</w:t>
      </w:r>
    </w:p>
    <w:p w:rsidR="00AC7624" w:rsidRDefault="0088433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-статьей 7 - иные показатели бюджета (в соответствии с пунктом 4 статьи 101,  п.10, п.13, п.15, п.17 статьи 103, статьями 107, 108.4, 110.1, 111 БК РФ, статьей 10 Положения о бюджетном процессе):</w:t>
      </w:r>
    </w:p>
    <w:p w:rsidR="00AC7624" w:rsidRDefault="0088433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управление муниципальным внутренним долгом</w:t>
      </w:r>
    </w:p>
    <w:p w:rsidR="00AC7624" w:rsidRDefault="0088433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(верхний п</w:t>
      </w:r>
      <w:r>
        <w:rPr>
          <w:rFonts w:ascii="Times New Roman" w:hAnsi="Times New Roman" w:cs="Times New Roman"/>
          <w:sz w:val="24"/>
          <w:szCs w:val="24"/>
        </w:rPr>
        <w:t>редел муниципального внутреннего долга и  верхний предел долга по муниципальным гарантиям, а также объем расходов на его обслуживание);</w:t>
      </w:r>
    </w:p>
    <w:p w:rsidR="00AC7624" w:rsidRDefault="0088433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источники финансирования дефицита местного бюджета;</w:t>
      </w:r>
    </w:p>
    <w:p w:rsidR="00AC7624" w:rsidRDefault="0088433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программу муниципальных внутренних заимствований.</w:t>
      </w:r>
    </w:p>
    <w:p w:rsidR="00AC7624" w:rsidRDefault="0088433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предоставле</w:t>
      </w:r>
      <w:r>
        <w:rPr>
          <w:rFonts w:ascii="Times New Roman" w:hAnsi="Times New Roman" w:cs="Times New Roman"/>
          <w:sz w:val="24"/>
          <w:szCs w:val="24"/>
        </w:rPr>
        <w:t>ние муниципальных гарантий.</w:t>
      </w:r>
    </w:p>
    <w:p w:rsidR="00AC7624" w:rsidRDefault="0088433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Статьей 8, 9,10 В соответствии со статьей 215.1 БК РФ предусматриваются:</w:t>
      </w:r>
    </w:p>
    <w:p w:rsidR="00AC7624" w:rsidRDefault="0088433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особенности погашения кредиторской задолженности главных распорядителей средств местного бюджета;</w:t>
      </w:r>
    </w:p>
    <w:p w:rsidR="00AC7624" w:rsidRDefault="0088433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положения по авансированию расходных обязательств пол</w:t>
      </w:r>
      <w:r>
        <w:rPr>
          <w:rFonts w:ascii="Times New Roman" w:hAnsi="Times New Roman" w:cs="Times New Roman"/>
          <w:sz w:val="24"/>
          <w:szCs w:val="24"/>
        </w:rPr>
        <w:t>учателей средств местного бюджета;</w:t>
      </w:r>
    </w:p>
    <w:p w:rsidR="00AC7624" w:rsidRDefault="0088433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использование остатков средств местного бюджета  имеющих целевое назначение.</w:t>
      </w:r>
    </w:p>
    <w:p w:rsidR="00AC7624" w:rsidRDefault="0088433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Статьи 2,3,7 утверждают Приложения к проекту бюджета, которые  составляет 7 табличных приложений.</w:t>
      </w:r>
    </w:p>
    <w:p w:rsidR="00AC7624" w:rsidRDefault="00884339">
      <w:pPr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Предложенные текстовые статьи не </w:t>
      </w:r>
      <w:r>
        <w:rPr>
          <w:rFonts w:ascii="Times New Roman" w:hAnsi="Times New Roman" w:cs="Times New Roman"/>
          <w:sz w:val="24"/>
          <w:szCs w:val="24"/>
        </w:rPr>
        <w:t>противоречат Бюджетному кодексу РФ,  муниципальным нормативным правовым актам и приложенным к проекту бюджета документам и приложениям.</w:t>
      </w:r>
    </w:p>
    <w:p w:rsidR="00AC7624" w:rsidRDefault="00AC762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C7624" w:rsidRDefault="00884339">
      <w:pPr>
        <w:pStyle w:val="Default"/>
        <w:ind w:firstLine="709"/>
        <w:jc w:val="center"/>
      </w:pPr>
      <w:r>
        <w:rPr>
          <w:b/>
          <w:bCs/>
          <w:color w:val="auto"/>
        </w:rPr>
        <w:t>2.2. Анализ перечня и содержания документов, представленных одновременно</w:t>
      </w:r>
    </w:p>
    <w:p w:rsidR="00AC7624" w:rsidRDefault="00884339">
      <w:pPr>
        <w:pStyle w:val="Default"/>
        <w:ind w:firstLine="709"/>
        <w:jc w:val="center"/>
      </w:pPr>
      <w:r>
        <w:rPr>
          <w:b/>
          <w:bCs/>
          <w:color w:val="auto"/>
        </w:rPr>
        <w:t xml:space="preserve">с проектом бюджета </w:t>
      </w:r>
      <w:r>
        <w:rPr>
          <w:b/>
        </w:rPr>
        <w:t>на 2025 год и плановый пери</w:t>
      </w:r>
      <w:r>
        <w:rPr>
          <w:b/>
        </w:rPr>
        <w:t>од 2026 и 2027 годов</w:t>
      </w:r>
      <w:r>
        <w:rPr>
          <w:b/>
          <w:bCs/>
          <w:color w:val="auto"/>
        </w:rPr>
        <w:t>.</w:t>
      </w:r>
    </w:p>
    <w:p w:rsidR="00AC7624" w:rsidRDefault="00AC7624">
      <w:pPr>
        <w:pStyle w:val="Default"/>
        <w:ind w:firstLine="709"/>
        <w:jc w:val="center"/>
        <w:rPr>
          <w:b/>
          <w:bCs/>
          <w:color w:val="auto"/>
        </w:rPr>
      </w:pPr>
    </w:p>
    <w:p w:rsidR="00AC7624" w:rsidRDefault="00884339">
      <w:pPr>
        <w:pStyle w:val="Default"/>
        <w:ind w:firstLine="709"/>
        <w:jc w:val="both"/>
      </w:pPr>
      <w:r>
        <w:rPr>
          <w:color w:val="auto"/>
        </w:rPr>
        <w:t xml:space="preserve">Перечень, содержание документов и материалов, представленные одновременно с проектом бюджета в соответствии со статьей 184.2 БК РФ, статьями 11, 14 Положения о бюджетном процессе в </w:t>
      </w:r>
      <w:r>
        <w:t>Еремеевском</w:t>
      </w:r>
      <w:r>
        <w:rPr>
          <w:color w:val="auto"/>
        </w:rPr>
        <w:t xml:space="preserve"> сельском поселении,</w:t>
      </w:r>
      <w:r>
        <w:rPr>
          <w:b/>
          <w:color w:val="auto"/>
        </w:rPr>
        <w:t xml:space="preserve"> в основном</w:t>
      </w:r>
      <w:r>
        <w:rPr>
          <w:color w:val="auto"/>
        </w:rPr>
        <w:t xml:space="preserve"> соответствуют требованиям бюджетного законодательства. </w:t>
      </w:r>
    </w:p>
    <w:p w:rsidR="00AC7624" w:rsidRDefault="00884339">
      <w:pPr>
        <w:pStyle w:val="Default"/>
        <w:ind w:firstLine="709"/>
        <w:jc w:val="both"/>
      </w:pPr>
      <w:r>
        <w:rPr>
          <w:b/>
          <w:color w:val="auto"/>
        </w:rPr>
        <w:t>Основные направления бюджетной и налоговой политики</w:t>
      </w:r>
      <w:r>
        <w:rPr>
          <w:color w:val="auto"/>
        </w:rPr>
        <w:t xml:space="preserve"> муниципального образования на</w:t>
      </w:r>
      <w:r>
        <w:t xml:space="preserve"> 2025 год и плановый период 2026 и 2027 годов</w:t>
      </w:r>
      <w:r>
        <w:rPr>
          <w:color w:val="auto"/>
        </w:rPr>
        <w:t xml:space="preserve"> утверждены распоряжением администрации от 05.09.2024 года.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следует и</w:t>
      </w:r>
      <w:r>
        <w:rPr>
          <w:rFonts w:ascii="Times New Roman" w:hAnsi="Times New Roman" w:cs="Times New Roman"/>
          <w:sz w:val="24"/>
          <w:szCs w:val="24"/>
        </w:rPr>
        <w:t>з Основных направлений, бюджетной и  налоговой политики основной целью является сбалансированность и устойчивость бюджета, а также обеспечение прозрачности и открытости бюджетного планирования.</w:t>
      </w:r>
    </w:p>
    <w:p w:rsidR="00AC7624" w:rsidRDefault="0088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задачами налоговой  политики муниципального образова</w:t>
      </w:r>
      <w:r>
        <w:rPr>
          <w:rFonts w:ascii="Times New Roman" w:hAnsi="Times New Roman" w:cs="Times New Roman"/>
          <w:sz w:val="24"/>
          <w:szCs w:val="24"/>
        </w:rPr>
        <w:t>ния  на 2025-2027 годы  являются, обеспечение сбалансированности и устойчивости местного бюджета, обеспечение стабильности поступления доходов, поддержка предпринимательской активности, совершенствование налогового администрирования и поддержание сбалансир</w:t>
      </w:r>
      <w:r>
        <w:rPr>
          <w:rFonts w:ascii="Times New Roman" w:hAnsi="Times New Roman" w:cs="Times New Roman"/>
          <w:sz w:val="24"/>
          <w:szCs w:val="24"/>
        </w:rPr>
        <w:t>ованности бюджета района, повышение собираемости налоговых и неналоговых платежей в местный бюджет, в том числе по взысканию дебиторской задолженности по платежам, пеням и штрафам по ним.</w:t>
      </w:r>
    </w:p>
    <w:p w:rsidR="00AC7624" w:rsidRDefault="0088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задачами бюджетной  политики муниципального образования  н</w:t>
      </w:r>
      <w:r>
        <w:rPr>
          <w:rFonts w:ascii="Times New Roman" w:hAnsi="Times New Roman" w:cs="Times New Roman"/>
          <w:sz w:val="24"/>
          <w:szCs w:val="24"/>
        </w:rPr>
        <w:t>а 2025-2027 годы  являются,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обеспечение долгосрочной сбалансированности и финансовой устойчивости местного бюджета, </w:t>
      </w:r>
      <w:r>
        <w:rPr>
          <w:rFonts w:ascii="Times New Roman" w:hAnsi="Times New Roman" w:cs="Times New Roman"/>
          <w:sz w:val="24"/>
          <w:szCs w:val="24"/>
        </w:rPr>
        <w:t>достижение национальных целей развития Российской Федерации путем реализации мероприятий муниципальных программ Еремеевского сельского посел</w:t>
      </w:r>
      <w:r>
        <w:rPr>
          <w:rFonts w:ascii="Times New Roman" w:hAnsi="Times New Roman" w:cs="Times New Roman"/>
          <w:sz w:val="24"/>
          <w:szCs w:val="24"/>
        </w:rPr>
        <w:t>ения, повышение эффективности и результативности расходования бюджетных средств.</w:t>
      </w:r>
    </w:p>
    <w:p w:rsidR="00AC7624" w:rsidRDefault="00884339">
      <w:pPr>
        <w:pStyle w:val="Default"/>
        <w:ind w:firstLine="709"/>
        <w:jc w:val="both"/>
      </w:pPr>
      <w:r>
        <w:rPr>
          <w:color w:val="auto"/>
        </w:rPr>
        <w:t xml:space="preserve">Экспертиза нормативно-правового акта Администрации муниципального образования Еремеевское сельское поселение «Основные направления бюджетной и налоговой политики Еремеевского </w:t>
      </w:r>
      <w:r>
        <w:rPr>
          <w:color w:val="auto"/>
        </w:rPr>
        <w:t xml:space="preserve">сельского поселения Полтавского муниципального района Омской области на 2025 год и на плановый период 2026 и 2027 годов» выявила ряд </w:t>
      </w:r>
      <w:r>
        <w:rPr>
          <w:b/>
          <w:color w:val="auto"/>
        </w:rPr>
        <w:t>нарушений:</w:t>
      </w:r>
    </w:p>
    <w:p w:rsidR="00AC7624" w:rsidRDefault="00884339">
      <w:pPr>
        <w:pStyle w:val="Default"/>
        <w:ind w:firstLine="709"/>
        <w:jc w:val="both"/>
      </w:pPr>
      <w:r>
        <w:rPr>
          <w:color w:val="auto"/>
        </w:rPr>
        <w:t>- абзац второй раздела 1 определяет, что основные направления бюджетной и налоговой политики должны обеспечить с</w:t>
      </w:r>
      <w:r>
        <w:rPr>
          <w:color w:val="auto"/>
        </w:rPr>
        <w:t xml:space="preserve">оциальную и финансовую стабильность в </w:t>
      </w:r>
      <w:r>
        <w:rPr>
          <w:color w:val="auto"/>
          <w:u w:val="single"/>
        </w:rPr>
        <w:t xml:space="preserve">Полтавском муниципальном районе </w:t>
      </w:r>
      <w:r>
        <w:rPr>
          <w:color w:val="auto"/>
        </w:rPr>
        <w:t xml:space="preserve">(должно быть </w:t>
      </w:r>
      <w:r>
        <w:rPr>
          <w:b/>
          <w:i/>
          <w:color w:val="auto"/>
        </w:rPr>
        <w:t>в Еремеевском сельском поселении</w:t>
      </w:r>
      <w:r>
        <w:rPr>
          <w:color w:val="auto"/>
        </w:rPr>
        <w:t xml:space="preserve">), создавать условия для устойчивого социально-экономического развития </w:t>
      </w:r>
      <w:r>
        <w:rPr>
          <w:color w:val="auto"/>
          <w:u w:val="single"/>
        </w:rPr>
        <w:t>района</w:t>
      </w:r>
      <w:r>
        <w:rPr>
          <w:color w:val="auto"/>
        </w:rPr>
        <w:t xml:space="preserve"> (должно быть </w:t>
      </w:r>
      <w:r>
        <w:rPr>
          <w:b/>
          <w:i/>
          <w:color w:val="auto"/>
        </w:rPr>
        <w:t>поселения</w:t>
      </w:r>
      <w:r>
        <w:rPr>
          <w:color w:val="auto"/>
        </w:rPr>
        <w:t xml:space="preserve">). </w:t>
      </w:r>
    </w:p>
    <w:p w:rsidR="00AC7624" w:rsidRDefault="0088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9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статьей 169 БК РФ, проект бюджета составляется на основе </w:t>
      </w:r>
      <w:r>
        <w:rPr>
          <w:rFonts w:ascii="Times New Roman" w:hAnsi="Times New Roman" w:cs="Times New Roman"/>
          <w:b/>
          <w:sz w:val="24"/>
          <w:szCs w:val="24"/>
        </w:rPr>
        <w:t>прогноза социально-экономического развития</w:t>
      </w:r>
      <w:r>
        <w:rPr>
          <w:rFonts w:ascii="Times New Roman" w:hAnsi="Times New Roman" w:cs="Times New Roman"/>
          <w:sz w:val="24"/>
          <w:szCs w:val="24"/>
        </w:rPr>
        <w:t xml:space="preserve"> в целях финансового обеспечения расходных обязательств. Надежность показателей прогноза социально-экономического развития является важнейш</w:t>
      </w:r>
      <w:r>
        <w:rPr>
          <w:rFonts w:ascii="Times New Roman" w:hAnsi="Times New Roman" w:cs="Times New Roman"/>
          <w:sz w:val="24"/>
          <w:szCs w:val="24"/>
        </w:rPr>
        <w:t>ей составляющей принципа достоверности бюджета, определенного статьей 37 БК РФ.</w:t>
      </w:r>
    </w:p>
    <w:p w:rsidR="00AC7624" w:rsidRDefault="00884339">
      <w:pPr>
        <w:shd w:val="clear" w:color="auto" w:fill="FFFFFF"/>
        <w:spacing w:after="29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Разработка прогноза осуществляется в соответствии с основными направлениями социально-экономической политики Правительства Российской Федерации. Таким образом следует, что анал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изируемый Прогноз в том числе должен быть направлен на реализацию вышеперечисленных национальных целей, заданных </w:t>
      </w:r>
      <w:r>
        <w:rPr>
          <w:rFonts w:ascii="Times New Roman" w:hAnsi="Times New Roman" w:cs="Times New Roman"/>
          <w:b/>
          <w:bCs/>
          <w:sz w:val="24"/>
          <w:szCs w:val="24"/>
        </w:rPr>
        <w:t>Указом Президента Российской Федерации от 7 мая 2024 года № 309 "О национальных целях развития Российской Федерации на период до 2030 года и 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перспективу до 2036 года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параметры, приведенные в данном Указе в том числе, могут быть приведены в качестве обосновывающих в текстовой части пояснительной записки к анализируемому Прогнозу в качестве обосновывающих социально-экономическое развитие посел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ения.</w:t>
      </w:r>
    </w:p>
    <w:p w:rsidR="00AC7624" w:rsidRDefault="008843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пункта 2 статьи 173 БК РФ прогноз социально-экономического развития муниципального образования ежегодно разрабатывается в порядке, установленном местной администрацией.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Прогноз социально-экономического развития поселения на 2025–2027 годы  </w:t>
      </w:r>
      <w:r>
        <w:rPr>
          <w:rFonts w:ascii="Times New Roman" w:hAnsi="Times New Roman" w:cs="Times New Roman"/>
          <w:sz w:val="24"/>
          <w:szCs w:val="24"/>
        </w:rPr>
        <w:t>одобрен распоряжением администрации Еремеевского сельского поселения от 11.11.2024 г. (далее – Прогноз), что соответствует пункту 3 статьи 173 БК РФ, и статье 7 Положения о бюджетном процессе, согласно которым прогноз одобряется одновременно с принятием ре</w:t>
      </w:r>
      <w:r>
        <w:rPr>
          <w:rFonts w:ascii="Times New Roman" w:hAnsi="Times New Roman" w:cs="Times New Roman"/>
          <w:sz w:val="24"/>
          <w:szCs w:val="24"/>
        </w:rPr>
        <w:t>шения о внесении проекта бюджета в представительный орган.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статьи 184.2 БК РФ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одновременно с проектом решения о бюджете в представительный орган представляется пакет документов, в том числе предварительные итоги социально-экономического развития 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оответствующей территории за истекший период текущего финансового года и ожидаемые итоги социально-экономического развития соответствующей территории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 текущий финансовый год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в связи с чем Контрольно-счетный орган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рекомендует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Администрации Еремеевского 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ельского поселения в наименовании разработанного документа «</w:t>
      </w:r>
      <w:r>
        <w:rPr>
          <w:rFonts w:ascii="Times New Roman" w:hAnsi="Times New Roman" w:cs="Times New Roman"/>
          <w:sz w:val="24"/>
          <w:szCs w:val="24"/>
        </w:rPr>
        <w:t xml:space="preserve">Предварительные итоги социально-экономического развития Еремеевского сельского поселения в январе - сентябре 2024 года и ожидаемые итоги социально-экономического развития  в Еремеевского сельском </w:t>
      </w:r>
      <w:r>
        <w:rPr>
          <w:rFonts w:ascii="Times New Roman" w:hAnsi="Times New Roman" w:cs="Times New Roman"/>
          <w:sz w:val="24"/>
          <w:szCs w:val="24"/>
        </w:rPr>
        <w:t xml:space="preserve">поселении </w:t>
      </w:r>
      <w:r>
        <w:rPr>
          <w:rFonts w:ascii="Times New Roman" w:hAnsi="Times New Roman" w:cs="Times New Roman"/>
          <w:b/>
          <w:sz w:val="24"/>
          <w:szCs w:val="24"/>
        </w:rPr>
        <w:t>в 2025 году</w:t>
      </w:r>
      <w:r>
        <w:rPr>
          <w:rFonts w:ascii="Times New Roman" w:hAnsi="Times New Roman" w:cs="Times New Roman"/>
          <w:sz w:val="24"/>
          <w:szCs w:val="24"/>
        </w:rPr>
        <w:t xml:space="preserve">» 2025 год </w:t>
      </w:r>
      <w:r>
        <w:rPr>
          <w:rFonts w:ascii="Times New Roman" w:hAnsi="Times New Roman" w:cs="Times New Roman"/>
          <w:b/>
          <w:sz w:val="24"/>
          <w:szCs w:val="24"/>
        </w:rPr>
        <w:t>отредактировать</w:t>
      </w:r>
      <w:r>
        <w:rPr>
          <w:rFonts w:ascii="Times New Roman" w:hAnsi="Times New Roman" w:cs="Times New Roman"/>
          <w:sz w:val="24"/>
          <w:szCs w:val="24"/>
        </w:rPr>
        <w:t xml:space="preserve"> на 2024 год. 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проведения настоящего мероприятия </w:t>
      </w:r>
      <w:r>
        <w:rPr>
          <w:rFonts w:ascii="Times New Roman" w:hAnsi="Times New Roman" w:cs="Times New Roman"/>
          <w:b/>
          <w:sz w:val="24"/>
          <w:szCs w:val="24"/>
        </w:rPr>
        <w:t>установлено: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несогласованность и разночтения информации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представленной в </w:t>
      </w:r>
      <w:r>
        <w:rPr>
          <w:rFonts w:ascii="Times New Roman" w:hAnsi="Times New Roman" w:cs="Times New Roman"/>
          <w:b/>
          <w:sz w:val="24"/>
          <w:szCs w:val="24"/>
        </w:rPr>
        <w:t>Пояснительной записке к прогнозу</w:t>
      </w:r>
      <w:r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Еремеевского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на 2025 год и плановый период 2026 и 2027 годы и в </w:t>
      </w:r>
      <w:r>
        <w:rPr>
          <w:rFonts w:ascii="Times New Roman" w:hAnsi="Times New Roman" w:cs="Times New Roman"/>
          <w:b/>
          <w:sz w:val="24"/>
          <w:szCs w:val="24"/>
        </w:rPr>
        <w:t>Предварительных итогах</w:t>
      </w:r>
      <w:r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 Еремеевского сельского поселения в январе - сентябре 2024 года и ожидаемых итогах социально-экономического развития  в Еремеевс</w:t>
      </w:r>
      <w:r>
        <w:rPr>
          <w:rFonts w:ascii="Times New Roman" w:hAnsi="Times New Roman" w:cs="Times New Roman"/>
          <w:sz w:val="24"/>
          <w:szCs w:val="24"/>
        </w:rPr>
        <w:t xml:space="preserve">кого сельском поселении в 2025 году (площадь территории поселения, неверно исчислена плотность населения на 1 кв.км). 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текстовой части Пояснительной записки</w:t>
      </w:r>
      <w:r>
        <w:rPr>
          <w:rFonts w:ascii="Times New Roman" w:hAnsi="Times New Roman" w:cs="Times New Roman"/>
          <w:sz w:val="24"/>
          <w:szCs w:val="24"/>
        </w:rPr>
        <w:t xml:space="preserve"> к прогнозу социально-экономического развития Еремеевского сельского поселения на 2025 го</w:t>
      </w:r>
      <w:r>
        <w:rPr>
          <w:rFonts w:ascii="Times New Roman" w:hAnsi="Times New Roman" w:cs="Times New Roman"/>
          <w:sz w:val="24"/>
          <w:szCs w:val="24"/>
        </w:rPr>
        <w:t xml:space="preserve">д и плановый период 2026 и 2027 годы </w:t>
      </w:r>
      <w:r>
        <w:rPr>
          <w:rFonts w:ascii="Times New Roman" w:hAnsi="Times New Roman" w:cs="Times New Roman"/>
          <w:b/>
          <w:sz w:val="24"/>
          <w:szCs w:val="24"/>
        </w:rPr>
        <w:t xml:space="preserve">не соответствуют даннымПрогноза </w:t>
      </w:r>
      <w:r>
        <w:rPr>
          <w:rFonts w:ascii="Times New Roman" w:hAnsi="Times New Roman" w:cs="Times New Roman"/>
          <w:sz w:val="24"/>
          <w:szCs w:val="24"/>
        </w:rPr>
        <w:t xml:space="preserve">социально-экономического развития Еремеевского сельского поселения на 2025 год и плановый период 2026 и 2027 годы представленным </w:t>
      </w:r>
      <w:r>
        <w:rPr>
          <w:rFonts w:ascii="Times New Roman" w:hAnsi="Times New Roman" w:cs="Times New Roman"/>
          <w:b/>
          <w:sz w:val="24"/>
          <w:szCs w:val="24"/>
        </w:rPr>
        <w:t xml:space="preserve">в табличной форме </w:t>
      </w:r>
      <w:r>
        <w:rPr>
          <w:rFonts w:ascii="Times New Roman" w:hAnsi="Times New Roman" w:cs="Times New Roman"/>
          <w:sz w:val="24"/>
          <w:szCs w:val="24"/>
        </w:rPr>
        <w:t>(удой на фуражную корову за 2024 год в П</w:t>
      </w:r>
      <w:r>
        <w:rPr>
          <w:rFonts w:ascii="Times New Roman" w:hAnsi="Times New Roman" w:cs="Times New Roman"/>
          <w:sz w:val="24"/>
          <w:szCs w:val="24"/>
        </w:rPr>
        <w:t xml:space="preserve">ояснительной записке 4,1 тыс. тонн, а в Прогнозе 1,8 тыс литров </w:t>
      </w:r>
      <w:r>
        <w:rPr>
          <w:rFonts w:ascii="Times New Roman" w:hAnsi="Times New Roman" w:cs="Times New Roman"/>
          <w:b/>
          <w:sz w:val="24"/>
          <w:szCs w:val="24"/>
        </w:rPr>
        <w:t>(разные единицы измерения</w:t>
      </w:r>
      <w:r>
        <w:rPr>
          <w:rFonts w:ascii="Times New Roman" w:hAnsi="Times New Roman" w:cs="Times New Roman"/>
          <w:sz w:val="24"/>
          <w:szCs w:val="24"/>
        </w:rPr>
        <w:t>), сравнительный анализ с уровнем прошлого года и прогнозные значения  2027 года также не согласуются).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Прогноз </w:t>
      </w:r>
      <w:r>
        <w:rPr>
          <w:rFonts w:ascii="Times New Roman" w:hAnsi="Times New Roman" w:cs="Times New Roman"/>
          <w:sz w:val="24"/>
          <w:szCs w:val="24"/>
        </w:rPr>
        <w:t>социально-экономического развития Еремеевского сельског</w:t>
      </w:r>
      <w:r>
        <w:rPr>
          <w:rFonts w:ascii="Times New Roman" w:hAnsi="Times New Roman" w:cs="Times New Roman"/>
          <w:sz w:val="24"/>
          <w:szCs w:val="24"/>
        </w:rPr>
        <w:t xml:space="preserve">о поселения на 2025 год и плановый период 2026 и 2027 годы содержит графу «Оценка 2024 год»  а данные этой графы трактуются в </w:t>
      </w:r>
      <w:r>
        <w:rPr>
          <w:rFonts w:ascii="Times New Roman" w:hAnsi="Times New Roman" w:cs="Times New Roman"/>
          <w:b/>
          <w:sz w:val="24"/>
          <w:szCs w:val="24"/>
        </w:rPr>
        <w:t>Пояснительной записке</w:t>
      </w:r>
      <w:r>
        <w:rPr>
          <w:rFonts w:ascii="Times New Roman" w:hAnsi="Times New Roman" w:cs="Times New Roman"/>
          <w:sz w:val="24"/>
          <w:szCs w:val="24"/>
        </w:rPr>
        <w:t xml:space="preserve"> к прогнозу как период «на 01.10.2024 года» или  «за 9 месяцев 2024 года».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пояснительной записке к прогнозу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социально-экономического развития приводится обоснование параметров прогноза, в том числе их сопоставление с ранее утвержденными параметрами с указанием причин и факторов прогнозируемых изменений.</w:t>
      </w:r>
    </w:p>
    <w:p w:rsidR="00AC7624" w:rsidRDefault="00884339">
      <w:pPr>
        <w:pStyle w:val="Default"/>
        <w:ind w:firstLine="709"/>
        <w:jc w:val="both"/>
      </w:pPr>
      <w:r>
        <w:rPr>
          <w:color w:val="auto"/>
        </w:rPr>
        <w:t>Прогноз социально-экономического развития представлен в дв</w:t>
      </w:r>
      <w:r>
        <w:rPr>
          <w:color w:val="auto"/>
        </w:rPr>
        <w:t>ух вариантах. В пояснительной записке, представленной одновременно с прогнозом,  определено, что варианты прогноза определяются в соответствии со сценарными условиями социально-экономического развития на очередной финансовый год и плановый период. Первый в</w:t>
      </w:r>
      <w:r>
        <w:rPr>
          <w:color w:val="auto"/>
        </w:rPr>
        <w:t xml:space="preserve">ариант прогноза отражает более низкие темпы развития экономики и социальной сферы. </w:t>
      </w:r>
    </w:p>
    <w:p w:rsidR="00AC7624" w:rsidRDefault="00884339">
      <w:pPr>
        <w:pStyle w:val="Default"/>
        <w:ind w:firstLine="709"/>
        <w:jc w:val="both"/>
      </w:pPr>
      <w:r>
        <w:rPr>
          <w:color w:val="auto"/>
        </w:rPr>
        <w:lastRenderedPageBreak/>
        <w:t>При формировании проекта местного бюджета используется базовый вариант прогноза, с учетом положений Основных направлений бюджетной и налоговой политики, Бюджетного прогноза</w:t>
      </w:r>
      <w:r>
        <w:rPr>
          <w:color w:val="auto"/>
        </w:rPr>
        <w:t xml:space="preserve"> на долгосрочный период, мероприятий муниципальных программ. </w:t>
      </w:r>
    </w:p>
    <w:p w:rsidR="00AC7624" w:rsidRDefault="00884339">
      <w:pPr>
        <w:pStyle w:val="Default"/>
        <w:ind w:firstLine="709"/>
        <w:jc w:val="both"/>
      </w:pPr>
      <w:r>
        <w:rPr>
          <w:color w:val="auto"/>
        </w:rPr>
        <w:t xml:space="preserve">Согласно </w:t>
      </w:r>
      <w:r>
        <w:rPr>
          <w:b/>
          <w:color w:val="auto"/>
        </w:rPr>
        <w:t>Оценке ожидаемого исполнения бюджета</w:t>
      </w:r>
      <w:r>
        <w:rPr>
          <w:color w:val="auto"/>
        </w:rPr>
        <w:t xml:space="preserve"> поселения по итогам 2024 года исполнение доходной и расходной частей бюджета предусмотрено в пределах показателей, утвержденных решением Совета.  </w:t>
      </w:r>
    </w:p>
    <w:p w:rsidR="00AC7624" w:rsidRDefault="00884339">
      <w:pPr>
        <w:snapToGrid w:val="0"/>
        <w:spacing w:after="0" w:line="240" w:lineRule="auto"/>
        <w:ind w:left="567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ч.2. ст.172 Бюджетного кодекса РФ составление проекта бюджета основывается на:</w:t>
      </w:r>
    </w:p>
    <w:p w:rsidR="00AC7624" w:rsidRDefault="00884339">
      <w:pPr>
        <w:snapToGrid w:val="0"/>
        <w:spacing w:after="29" w:line="240" w:lineRule="auto"/>
        <w:ind w:left="567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</w:t>
      </w:r>
      <w:r>
        <w:rPr>
          <w:rFonts w:ascii="Times New Roman" w:hAnsi="Times New Roman" w:cs="Times New Roman"/>
          <w:sz w:val="24"/>
          <w:szCs w:val="24"/>
        </w:rPr>
        <w:t>Российской Федерации;</w:t>
      </w:r>
    </w:p>
    <w:p w:rsidR="00AC7624" w:rsidRDefault="00884339">
      <w:pPr>
        <w:snapToGrid w:val="0"/>
        <w:spacing w:after="0" w:line="240" w:lineRule="auto"/>
        <w:ind w:left="567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документах, определяющих цели национального развития Российской Федерации и направления деятельности органов публичной власти по их достижению;</w:t>
      </w:r>
    </w:p>
    <w:p w:rsidR="00AC7624" w:rsidRDefault="00884339">
      <w:pPr>
        <w:snapToGrid w:val="0"/>
        <w:spacing w:after="0" w:line="240" w:lineRule="auto"/>
        <w:ind w:left="567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основных направлениях бюджетной и налоговой политики муниципальных образований);</w:t>
      </w:r>
    </w:p>
    <w:p w:rsidR="00AC7624" w:rsidRDefault="00884339">
      <w:pPr>
        <w:snapToGrid w:val="0"/>
        <w:spacing w:after="29" w:line="240" w:lineRule="auto"/>
        <w:ind w:left="567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</w:t>
      </w:r>
      <w:r>
        <w:rPr>
          <w:rFonts w:ascii="Times New Roman" w:hAnsi="Times New Roman" w:cs="Times New Roman"/>
          <w:sz w:val="24"/>
          <w:szCs w:val="24"/>
        </w:rPr>
        <w:t>гнозе социально-экономического развития;</w:t>
      </w:r>
    </w:p>
    <w:p w:rsidR="00AC7624" w:rsidRDefault="00884339">
      <w:pPr>
        <w:snapToGrid w:val="0"/>
        <w:spacing w:after="0" w:line="240" w:lineRule="auto"/>
        <w:ind w:left="567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бюджетном прогнозе (проекте бюджетного прогноза, проекте изменений бюджетного прогноза) на долгосрочный период;</w:t>
      </w:r>
    </w:p>
    <w:p w:rsidR="00AC7624" w:rsidRDefault="00884339">
      <w:pPr>
        <w:snapToGrid w:val="0"/>
        <w:spacing w:after="0" w:line="240" w:lineRule="auto"/>
        <w:ind w:left="567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государственных (муниципальных) программах (проектах государственных (муниципальных) программ, прое</w:t>
      </w:r>
      <w:r>
        <w:rPr>
          <w:rFonts w:ascii="Times New Roman" w:hAnsi="Times New Roman" w:cs="Times New Roman"/>
          <w:sz w:val="24"/>
          <w:szCs w:val="24"/>
        </w:rPr>
        <w:t>ктах изменений указанных программ).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 к проекту бюджета</w:t>
      </w:r>
      <w:r>
        <w:rPr>
          <w:rFonts w:ascii="Times New Roman" w:hAnsi="Times New Roman" w:cs="Times New Roman"/>
          <w:sz w:val="24"/>
          <w:szCs w:val="24"/>
        </w:rPr>
        <w:t xml:space="preserve"> на 2025 год и на плановый период 2026 и 2027 годов </w:t>
      </w:r>
      <w:r>
        <w:rPr>
          <w:rFonts w:ascii="Times New Roman" w:hAnsi="Times New Roman" w:cs="Times New Roman"/>
          <w:b/>
          <w:sz w:val="24"/>
          <w:szCs w:val="24"/>
        </w:rPr>
        <w:t>не содержит информации</w:t>
      </w:r>
      <w:r>
        <w:rPr>
          <w:rFonts w:ascii="Times New Roman" w:hAnsi="Times New Roman" w:cs="Times New Roman"/>
          <w:sz w:val="24"/>
          <w:szCs w:val="24"/>
        </w:rPr>
        <w:t>, что составление проекта бюджета осуществлялось в соответствии с:</w:t>
      </w:r>
    </w:p>
    <w:p w:rsidR="00AC7624" w:rsidRDefault="00884339">
      <w:pPr>
        <w:spacing w:after="29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положениями Послания Президента Россий</w:t>
      </w:r>
      <w:r>
        <w:rPr>
          <w:rFonts w:ascii="Times New Roman" w:hAnsi="Times New Roman" w:cs="Times New Roman"/>
          <w:sz w:val="24"/>
          <w:szCs w:val="24"/>
        </w:rPr>
        <w:t>ской Федерации Федеральному Собранию Российской Федерации от 29 февраля 2024 года;</w:t>
      </w:r>
    </w:p>
    <w:p w:rsidR="00AC7624" w:rsidRDefault="00884339">
      <w:pPr>
        <w:spacing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 национальными целями развития Российской Федерации на период </w:t>
      </w:r>
      <w:r>
        <w:rPr>
          <w:rFonts w:ascii="Times New Roman" w:hAnsi="Times New Roman" w:cs="Times New Roman"/>
          <w:sz w:val="24"/>
          <w:szCs w:val="24"/>
        </w:rPr>
        <w:br/>
        <w:t xml:space="preserve">до 2030 года и на перспективу до 2036 года, определенными </w:t>
      </w:r>
      <w:r>
        <w:rPr>
          <w:rFonts w:ascii="Times New Roman" w:hAnsi="Times New Roman" w:cs="Times New Roman"/>
          <w:sz w:val="24"/>
          <w:szCs w:val="24"/>
        </w:rPr>
        <w:br/>
        <w:t>Указом Президента Российской Федерации от 7 мая 20</w:t>
      </w:r>
      <w:r>
        <w:rPr>
          <w:rFonts w:ascii="Times New Roman" w:hAnsi="Times New Roman" w:cs="Times New Roman"/>
          <w:sz w:val="24"/>
          <w:szCs w:val="24"/>
        </w:rPr>
        <w:t>24 года № 309;</w:t>
      </w:r>
    </w:p>
    <w:p w:rsidR="00AC7624" w:rsidRDefault="00884339">
      <w:pPr>
        <w:pStyle w:val="Default"/>
        <w:ind w:firstLine="709"/>
        <w:jc w:val="both"/>
      </w:pPr>
      <w:r>
        <w:rPr>
          <w:i/>
          <w:color w:val="auto"/>
        </w:rPr>
        <w:t xml:space="preserve">Таким образом, по результатам анализа текстовой части проекта решения, соответствие предлагаемых к утверждению положений подтверждается требованиям бюджетного законодательства. </w:t>
      </w:r>
    </w:p>
    <w:p w:rsidR="00AC7624" w:rsidRDefault="00884339">
      <w:pPr>
        <w:pStyle w:val="Default"/>
        <w:ind w:firstLine="709"/>
        <w:jc w:val="both"/>
      </w:pPr>
      <w:r>
        <w:rPr>
          <w:i/>
          <w:color w:val="auto"/>
        </w:rPr>
        <w:t>Значения всех характеристик бюджета, указанных в текстовой част</w:t>
      </w:r>
      <w:r>
        <w:rPr>
          <w:i/>
          <w:color w:val="auto"/>
        </w:rPr>
        <w:t>и проекта решения о бюджете соответствует значениям этих показателей в приложениях к проекту решения.</w:t>
      </w:r>
    </w:p>
    <w:p w:rsidR="00AC7624" w:rsidRDefault="00AC762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7624" w:rsidRDefault="0088433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Рассмотрев направленный проект бюджета, пояснительную записку и справочный материал к проекту бюджета, а также другие документы, представленные одновреме</w:t>
      </w:r>
      <w:r>
        <w:rPr>
          <w:rFonts w:ascii="Times New Roman" w:hAnsi="Times New Roman" w:cs="Times New Roman"/>
          <w:sz w:val="24"/>
          <w:szCs w:val="24"/>
        </w:rPr>
        <w:t>нно с проектом бюджета Контрольно-счетный орган муниципального образования отмечает следующее.</w:t>
      </w:r>
    </w:p>
    <w:p w:rsidR="00AC7624" w:rsidRDefault="00AC762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7624" w:rsidRDefault="00884339">
      <w:pPr>
        <w:spacing w:after="0" w:line="240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3.Основные характеристики проекта решения «О бюджете Еремеевского сельского поселения на 2025 год и плановый период 2026 и 2027 годов»</w:t>
      </w:r>
    </w:p>
    <w:p w:rsidR="00AC7624" w:rsidRDefault="00AC7624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AC7624" w:rsidRDefault="00884339">
      <w:pPr>
        <w:spacing w:after="29"/>
        <w:ind w:firstLine="709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Планирование местного бюджета на 2025 – 2027 годы осуществлялось исходя из принципов обеспечения сбалансированности и финансовой устойчивости бюджета в условиях ограниченности доходных источников, и сдерживания роста расходов местного бюджета, а также повы</w:t>
      </w:r>
      <w:r>
        <w:rPr>
          <w:rFonts w:ascii="Times New Roman" w:hAnsi="Times New Roman" w:cs="Times New Roman"/>
          <w:sz w:val="24"/>
          <w:szCs w:val="24"/>
        </w:rPr>
        <w:t xml:space="preserve">шения их </w:t>
      </w:r>
      <w:r>
        <w:rPr>
          <w:rFonts w:ascii="Times New Roman" w:hAnsi="Times New Roman" w:cs="Times New Roman"/>
          <w:bCs/>
          <w:sz w:val="24"/>
          <w:szCs w:val="24"/>
        </w:rPr>
        <w:t>эффективности.</w:t>
      </w:r>
    </w:p>
    <w:p w:rsidR="00AC7624" w:rsidRDefault="00884339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Основные характеристики местного бюджета на 2025 год и на плановый период 2026 и 2027 годов рассматриваются с первоначальной редакцией уточненным планом на 2024 год, утвержденным решением Совета депутатов Еремеевского сельского посе</w:t>
      </w:r>
      <w:r>
        <w:rPr>
          <w:rFonts w:ascii="Times New Roman" w:hAnsi="Times New Roman" w:cs="Times New Roman"/>
          <w:sz w:val="24"/>
          <w:szCs w:val="24"/>
        </w:rPr>
        <w:t>ления Полтавского муниципального района от 05 декабря 2023 года № 57 «О бюджете сельского поселения на 2024 год и на плановый период 2025 и 2026 годов» (в редакции от 27.09.2024 №38).</w:t>
      </w:r>
    </w:p>
    <w:p w:rsidR="00AC7624" w:rsidRDefault="00884339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Проектом решения предлагается утвердить доходную часть бюджета на 2025 г</w:t>
      </w:r>
      <w:r>
        <w:rPr>
          <w:rFonts w:ascii="Times New Roman" w:hAnsi="Times New Roman" w:cs="Times New Roman"/>
          <w:sz w:val="24"/>
          <w:szCs w:val="24"/>
        </w:rPr>
        <w:t>од  на 0,67% ниже первоначальной редакции бюджета 2024 года и ниже уточненной редакции на 49,69%. Плановый период 2026 года запланирован в объеме 91,71%  2025 года, 2027 год с превышением дохода 2026 года на 6,73%.</w:t>
      </w:r>
    </w:p>
    <w:p w:rsidR="00AC7624" w:rsidRDefault="008843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Расходная часть на 2025 год запланирована</w:t>
      </w:r>
      <w:r>
        <w:rPr>
          <w:rFonts w:ascii="Times New Roman" w:hAnsi="Times New Roman"/>
          <w:sz w:val="24"/>
          <w:szCs w:val="24"/>
        </w:rPr>
        <w:t xml:space="preserve"> также со снижением плановых значений 2024 года на 0,67 % утвержденного  бюджета в первоначальной редакции, и на  53,10% уточненной. В плановом периоде 2026 года расходная часть составит 71,71%  2025 года, в 2027 году превысит расходы 2026 года на 6,73%.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анные об основных характеристиках местного бюджета на 2025 год и на плановый период 2026 и 2027 годов в сравнении с 2024 годом представлены в таблице.</w:t>
      </w:r>
    </w:p>
    <w:tbl>
      <w:tblPr>
        <w:tblStyle w:val="af5"/>
        <w:tblW w:w="9571" w:type="dxa"/>
        <w:tblInd w:w="113" w:type="dxa"/>
        <w:tblLayout w:type="fixed"/>
        <w:tblLook w:val="04A0"/>
      </w:tblPr>
      <w:tblGrid>
        <w:gridCol w:w="985"/>
        <w:gridCol w:w="1109"/>
        <w:gridCol w:w="1134"/>
        <w:gridCol w:w="1133"/>
        <w:gridCol w:w="641"/>
        <w:gridCol w:w="636"/>
        <w:gridCol w:w="1278"/>
        <w:gridCol w:w="706"/>
        <w:gridCol w:w="1279"/>
        <w:gridCol w:w="670"/>
      </w:tblGrid>
      <w:tr w:rsidR="00AC7624">
        <w:tc>
          <w:tcPr>
            <w:tcW w:w="984" w:type="dxa"/>
            <w:vMerge w:val="restart"/>
          </w:tcPr>
          <w:p w:rsidR="00AC7624" w:rsidRDefault="00AC7624">
            <w:pPr>
              <w:spacing w:after="0" w:line="240" w:lineRule="auto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109" w:type="dxa"/>
            <w:vMerge w:val="restart"/>
          </w:tcPr>
          <w:p w:rsidR="00AC7624" w:rsidRDefault="00AC76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</w:p>
          <w:p w:rsidR="00AC7624" w:rsidRDefault="008843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Бюджет 2024г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первоначальная редакция (решение 05.12.2023 №57)</w:t>
            </w:r>
          </w:p>
        </w:tc>
        <w:tc>
          <w:tcPr>
            <w:tcW w:w="1134" w:type="dxa"/>
            <w:vMerge w:val="restart"/>
          </w:tcPr>
          <w:p w:rsidR="00AC7624" w:rsidRDefault="00AC76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</w:p>
          <w:p w:rsidR="00AC7624" w:rsidRDefault="008843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Бюджет 2024 года с учетом изменений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(редакция от 27.09.2024г № 38</w:t>
            </w:r>
          </w:p>
        </w:tc>
        <w:tc>
          <w:tcPr>
            <w:tcW w:w="2410" w:type="dxa"/>
            <w:gridSpan w:val="3"/>
          </w:tcPr>
          <w:p w:rsidR="00AC7624" w:rsidRDefault="008843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 2025 год</w:t>
            </w:r>
          </w:p>
        </w:tc>
        <w:tc>
          <w:tcPr>
            <w:tcW w:w="1984" w:type="dxa"/>
            <w:gridSpan w:val="2"/>
          </w:tcPr>
          <w:p w:rsidR="00AC7624" w:rsidRDefault="008843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 2026 год</w:t>
            </w:r>
          </w:p>
        </w:tc>
        <w:tc>
          <w:tcPr>
            <w:tcW w:w="1949" w:type="dxa"/>
            <w:gridSpan w:val="2"/>
          </w:tcPr>
          <w:p w:rsidR="00AC7624" w:rsidRDefault="008843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 2027 год</w:t>
            </w:r>
          </w:p>
        </w:tc>
      </w:tr>
      <w:tr w:rsidR="00AC7624">
        <w:tc>
          <w:tcPr>
            <w:tcW w:w="984" w:type="dxa"/>
            <w:vMerge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109" w:type="dxa"/>
            <w:vMerge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 w:val="restart"/>
          </w:tcPr>
          <w:p w:rsidR="00AC7624" w:rsidRDefault="00AC76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</w:p>
          <w:p w:rsidR="00AC7624" w:rsidRDefault="00AC7624">
            <w:pPr>
              <w:spacing w:after="0" w:line="240" w:lineRule="auto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</w:p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сумма</w:t>
            </w:r>
          </w:p>
        </w:tc>
        <w:tc>
          <w:tcPr>
            <w:tcW w:w="1277" w:type="dxa"/>
            <w:gridSpan w:val="2"/>
          </w:tcPr>
          <w:p w:rsidR="00AC7624" w:rsidRDefault="008843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отношение к 2024 году,  %</w:t>
            </w:r>
          </w:p>
        </w:tc>
        <w:tc>
          <w:tcPr>
            <w:tcW w:w="1278" w:type="dxa"/>
            <w:vMerge w:val="restart"/>
          </w:tcPr>
          <w:p w:rsidR="00AC7624" w:rsidRDefault="008843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сумма</w:t>
            </w:r>
          </w:p>
        </w:tc>
        <w:tc>
          <w:tcPr>
            <w:tcW w:w="706" w:type="dxa"/>
            <w:vMerge w:val="restart"/>
          </w:tcPr>
          <w:p w:rsidR="00AC7624" w:rsidRDefault="008843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отношение к 2025году, %</w:t>
            </w:r>
          </w:p>
        </w:tc>
        <w:tc>
          <w:tcPr>
            <w:tcW w:w="1279" w:type="dxa"/>
            <w:vMerge w:val="restart"/>
          </w:tcPr>
          <w:p w:rsidR="00AC7624" w:rsidRDefault="00AC76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</w:p>
          <w:p w:rsidR="00AC7624" w:rsidRDefault="00AC7624">
            <w:pPr>
              <w:spacing w:after="0" w:line="240" w:lineRule="auto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</w:p>
          <w:p w:rsidR="00AC7624" w:rsidRDefault="00AC7624">
            <w:pPr>
              <w:spacing w:after="0" w:line="240" w:lineRule="auto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</w:p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сумма</w:t>
            </w:r>
          </w:p>
        </w:tc>
        <w:tc>
          <w:tcPr>
            <w:tcW w:w="670" w:type="dxa"/>
            <w:vMerge w:val="restart"/>
          </w:tcPr>
          <w:p w:rsidR="00AC7624" w:rsidRDefault="008843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отношение к 2026году,  %</w:t>
            </w:r>
          </w:p>
        </w:tc>
      </w:tr>
      <w:tr w:rsidR="00AC7624">
        <w:tc>
          <w:tcPr>
            <w:tcW w:w="984" w:type="dxa"/>
            <w:vMerge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109" w:type="dxa"/>
            <w:vMerge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41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 первонач ред.</w:t>
            </w:r>
          </w:p>
        </w:tc>
        <w:tc>
          <w:tcPr>
            <w:tcW w:w="636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 учетом изменен.</w:t>
            </w:r>
          </w:p>
        </w:tc>
        <w:tc>
          <w:tcPr>
            <w:tcW w:w="1278" w:type="dxa"/>
            <w:vMerge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6" w:type="dxa"/>
            <w:vMerge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9" w:type="dxa"/>
            <w:vMerge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70" w:type="dxa"/>
            <w:vMerge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</w:p>
        </w:tc>
      </w:tr>
      <w:tr w:rsidR="00AC7624">
        <w:tc>
          <w:tcPr>
            <w:tcW w:w="984" w:type="dxa"/>
          </w:tcPr>
          <w:p w:rsidR="00AC7624" w:rsidRDefault="008843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Доходы, всего</w:t>
            </w:r>
          </w:p>
        </w:tc>
        <w:tc>
          <w:tcPr>
            <w:tcW w:w="1109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4"/>
                <w:szCs w:val="14"/>
                <w:lang w:eastAsia="ru-RU"/>
              </w:rPr>
              <w:t>12 400 392,79</w:t>
            </w:r>
          </w:p>
        </w:tc>
        <w:tc>
          <w:tcPr>
            <w:tcW w:w="1134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4"/>
                <w:szCs w:val="14"/>
                <w:lang w:eastAsia="ru-RU"/>
              </w:rPr>
              <w:t>24 484 028,26</w:t>
            </w:r>
          </w:p>
        </w:tc>
        <w:tc>
          <w:tcPr>
            <w:tcW w:w="1133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4"/>
                <w:szCs w:val="14"/>
                <w:lang w:val="en-US" w:eastAsia="ru-RU"/>
              </w:rPr>
              <w:t>12 317 635.42</w:t>
            </w:r>
          </w:p>
        </w:tc>
        <w:tc>
          <w:tcPr>
            <w:tcW w:w="641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4"/>
                <w:szCs w:val="14"/>
                <w:lang w:val="en-US" w:eastAsia="ru-RU"/>
              </w:rPr>
              <w:t>99.33</w:t>
            </w:r>
          </w:p>
        </w:tc>
        <w:tc>
          <w:tcPr>
            <w:tcW w:w="636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4"/>
                <w:szCs w:val="14"/>
                <w:lang w:val="en-US" w:eastAsia="ru-RU"/>
              </w:rPr>
              <w:t>50.31</w:t>
            </w:r>
          </w:p>
        </w:tc>
        <w:tc>
          <w:tcPr>
            <w:tcW w:w="1278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4"/>
                <w:szCs w:val="14"/>
                <w:lang w:val="en-US" w:eastAsia="ru-RU"/>
              </w:rPr>
              <w:t>11 297 051.54</w:t>
            </w:r>
          </w:p>
        </w:tc>
        <w:tc>
          <w:tcPr>
            <w:tcW w:w="706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4"/>
                <w:szCs w:val="14"/>
                <w:lang w:val="en-US" w:eastAsia="ru-RU"/>
              </w:rPr>
              <w:t>91.71</w:t>
            </w:r>
          </w:p>
        </w:tc>
        <w:tc>
          <w:tcPr>
            <w:tcW w:w="1279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4"/>
                <w:szCs w:val="14"/>
                <w:lang w:val="en-US" w:eastAsia="ru-RU"/>
              </w:rPr>
              <w:t>12 058 022.75</w:t>
            </w:r>
          </w:p>
        </w:tc>
        <w:tc>
          <w:tcPr>
            <w:tcW w:w="670" w:type="dxa"/>
          </w:tcPr>
          <w:p w:rsidR="00AC7624" w:rsidRDefault="00884339">
            <w:pPr>
              <w:widowControl w:val="0"/>
              <w:tabs>
                <w:tab w:val="left" w:pos="59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bookmarkStart w:id="4" w:name="_Hlk119594462"/>
            <w:bookmarkEnd w:id="4"/>
            <w:r>
              <w:rPr>
                <w:rFonts w:ascii="Times New Roman" w:eastAsia="Calibri" w:hAnsi="Times New Roman" w:cs="Times New Roman"/>
                <w:b/>
                <w:sz w:val="14"/>
                <w:szCs w:val="14"/>
                <w:lang w:val="en-US" w:eastAsia="ru-RU"/>
              </w:rPr>
              <w:t>106.73</w:t>
            </w:r>
            <w:bookmarkStart w:id="5" w:name="_Hlk152238045"/>
            <w:bookmarkEnd w:id="5"/>
          </w:p>
        </w:tc>
      </w:tr>
      <w:tr w:rsidR="00AC7624">
        <w:tc>
          <w:tcPr>
            <w:tcW w:w="984" w:type="dxa"/>
          </w:tcPr>
          <w:p w:rsidR="00AC7624" w:rsidRDefault="008843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1109" w:type="dxa"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41" w:type="dxa"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36" w:type="dxa"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8" w:type="dxa"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6" w:type="dxa"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9" w:type="dxa"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70" w:type="dxa"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AC7624">
        <w:tc>
          <w:tcPr>
            <w:tcW w:w="984" w:type="dxa"/>
          </w:tcPr>
          <w:p w:rsidR="00AC7624" w:rsidRDefault="008843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налоговые и неналоговые</w:t>
            </w:r>
          </w:p>
        </w:tc>
        <w:tc>
          <w:tcPr>
            <w:tcW w:w="1109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8 848 821,00</w:t>
            </w:r>
          </w:p>
        </w:tc>
        <w:tc>
          <w:tcPr>
            <w:tcW w:w="1134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9 300 687,97</w:t>
            </w:r>
          </w:p>
        </w:tc>
        <w:tc>
          <w:tcPr>
            <w:tcW w:w="1133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val="en-US" w:eastAsia="ru-RU"/>
              </w:rPr>
              <w:t>8 460 348.00</w:t>
            </w:r>
          </w:p>
        </w:tc>
        <w:tc>
          <w:tcPr>
            <w:tcW w:w="641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val="en-US" w:eastAsia="ru-RU"/>
              </w:rPr>
              <w:t>95.61</w:t>
            </w:r>
          </w:p>
        </w:tc>
        <w:tc>
          <w:tcPr>
            <w:tcW w:w="636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val="en-US" w:eastAsia="ru-RU"/>
              </w:rPr>
              <w:t>90.96</w:t>
            </w:r>
          </w:p>
        </w:tc>
        <w:tc>
          <w:tcPr>
            <w:tcW w:w="1278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val="en-US" w:eastAsia="ru-RU"/>
              </w:rPr>
              <w:t>8 411 004.00</w:t>
            </w:r>
          </w:p>
        </w:tc>
        <w:tc>
          <w:tcPr>
            <w:tcW w:w="706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val="en-US" w:eastAsia="ru-RU"/>
              </w:rPr>
              <w:t>99.42</w:t>
            </w:r>
          </w:p>
        </w:tc>
        <w:tc>
          <w:tcPr>
            <w:tcW w:w="1279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val="en-US" w:eastAsia="ru-RU"/>
              </w:rPr>
              <w:t>9 017 343.00</w:t>
            </w:r>
          </w:p>
        </w:tc>
        <w:tc>
          <w:tcPr>
            <w:tcW w:w="670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val="en-US" w:eastAsia="ru-RU"/>
              </w:rPr>
              <w:t>107.21</w:t>
            </w:r>
          </w:p>
        </w:tc>
      </w:tr>
      <w:tr w:rsidR="00AC7624">
        <w:tc>
          <w:tcPr>
            <w:tcW w:w="984" w:type="dxa"/>
          </w:tcPr>
          <w:p w:rsidR="00AC7624" w:rsidRDefault="008843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безвозмездные поступления</w:t>
            </w:r>
          </w:p>
        </w:tc>
        <w:tc>
          <w:tcPr>
            <w:tcW w:w="1109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3 551 571,79</w:t>
            </w:r>
          </w:p>
        </w:tc>
        <w:tc>
          <w:tcPr>
            <w:tcW w:w="1134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15 183 340,29</w:t>
            </w:r>
          </w:p>
        </w:tc>
        <w:tc>
          <w:tcPr>
            <w:tcW w:w="1133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val="en-US" w:eastAsia="ru-RU"/>
              </w:rPr>
              <w:t>3 857 287.42</w:t>
            </w:r>
          </w:p>
        </w:tc>
        <w:tc>
          <w:tcPr>
            <w:tcW w:w="641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val="en-US" w:eastAsia="ru-RU"/>
              </w:rPr>
              <w:t>108.61</w:t>
            </w:r>
          </w:p>
        </w:tc>
        <w:tc>
          <w:tcPr>
            <w:tcW w:w="636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val="en-US" w:eastAsia="ru-RU"/>
              </w:rPr>
              <w:t>25.40</w:t>
            </w:r>
          </w:p>
        </w:tc>
        <w:tc>
          <w:tcPr>
            <w:tcW w:w="1278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val="en-US" w:eastAsia="ru-RU"/>
              </w:rPr>
              <w:t>2 886 047.54</w:t>
            </w:r>
          </w:p>
        </w:tc>
        <w:tc>
          <w:tcPr>
            <w:tcW w:w="706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val="en-US" w:eastAsia="ru-RU"/>
              </w:rPr>
              <w:t>74.82</w:t>
            </w:r>
          </w:p>
        </w:tc>
        <w:tc>
          <w:tcPr>
            <w:tcW w:w="1279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val="en-US" w:eastAsia="ru-RU"/>
              </w:rPr>
              <w:t>3 040 679.75</w:t>
            </w:r>
          </w:p>
        </w:tc>
        <w:tc>
          <w:tcPr>
            <w:tcW w:w="670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val="en-US" w:eastAsia="ru-RU"/>
              </w:rPr>
              <w:t>117.97</w:t>
            </w:r>
          </w:p>
        </w:tc>
      </w:tr>
      <w:tr w:rsidR="00AC7624">
        <w:tc>
          <w:tcPr>
            <w:tcW w:w="984" w:type="dxa"/>
          </w:tcPr>
          <w:p w:rsidR="00AC7624" w:rsidRDefault="008843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расходы всего</w:t>
            </w:r>
          </w:p>
        </w:tc>
        <w:tc>
          <w:tcPr>
            <w:tcW w:w="1109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4"/>
                <w:szCs w:val="14"/>
                <w:lang w:eastAsia="ru-RU"/>
              </w:rPr>
              <w:t>12 400 392,79</w:t>
            </w:r>
          </w:p>
        </w:tc>
        <w:tc>
          <w:tcPr>
            <w:tcW w:w="1134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4"/>
                <w:szCs w:val="14"/>
                <w:lang w:eastAsia="ru-RU"/>
              </w:rPr>
              <w:t>26 265 840,76</w:t>
            </w:r>
          </w:p>
        </w:tc>
        <w:tc>
          <w:tcPr>
            <w:tcW w:w="1133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4"/>
                <w:szCs w:val="14"/>
                <w:lang w:val="en-US" w:eastAsia="ru-RU"/>
              </w:rPr>
              <w:t>12 317 635.42</w:t>
            </w:r>
          </w:p>
        </w:tc>
        <w:tc>
          <w:tcPr>
            <w:tcW w:w="641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4"/>
                <w:szCs w:val="14"/>
                <w:lang w:val="en-US" w:eastAsia="ru-RU"/>
              </w:rPr>
              <w:t>99.33</w:t>
            </w:r>
          </w:p>
        </w:tc>
        <w:tc>
          <w:tcPr>
            <w:tcW w:w="636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4"/>
                <w:szCs w:val="14"/>
                <w:lang w:val="en-US" w:eastAsia="ru-RU"/>
              </w:rPr>
              <w:t>46.90</w:t>
            </w:r>
          </w:p>
        </w:tc>
        <w:tc>
          <w:tcPr>
            <w:tcW w:w="1278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4"/>
                <w:szCs w:val="14"/>
                <w:lang w:val="en-US" w:eastAsia="ru-RU"/>
              </w:rPr>
              <w:t>11 297 051.54</w:t>
            </w:r>
          </w:p>
        </w:tc>
        <w:tc>
          <w:tcPr>
            <w:tcW w:w="706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4"/>
                <w:szCs w:val="14"/>
                <w:lang w:eastAsia="ru-RU"/>
              </w:rPr>
              <w:t>91,71</w:t>
            </w:r>
          </w:p>
        </w:tc>
        <w:tc>
          <w:tcPr>
            <w:tcW w:w="1279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4"/>
                <w:szCs w:val="14"/>
                <w:lang w:eastAsia="ru-RU"/>
              </w:rPr>
              <w:t>12 058 022,75</w:t>
            </w:r>
          </w:p>
        </w:tc>
        <w:tc>
          <w:tcPr>
            <w:tcW w:w="670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4"/>
                <w:szCs w:val="14"/>
                <w:lang w:eastAsia="ru-RU"/>
              </w:rPr>
              <w:t>106,73</w:t>
            </w:r>
          </w:p>
        </w:tc>
      </w:tr>
      <w:tr w:rsidR="00AC7624">
        <w:tc>
          <w:tcPr>
            <w:tcW w:w="984" w:type="dxa"/>
          </w:tcPr>
          <w:p w:rsidR="00AC7624" w:rsidRDefault="008843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1109" w:type="dxa"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41" w:type="dxa"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36" w:type="dxa"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8" w:type="dxa"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6" w:type="dxa"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9" w:type="dxa"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70" w:type="dxa"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AC7624">
        <w:tc>
          <w:tcPr>
            <w:tcW w:w="984" w:type="dxa"/>
          </w:tcPr>
          <w:p w:rsidR="00AC7624" w:rsidRDefault="008843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за счет налоговых и неналоговых доходов,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поступлений нецелевого характера</w:t>
            </w:r>
          </w:p>
        </w:tc>
        <w:tc>
          <w:tcPr>
            <w:tcW w:w="1109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12 400 392,79</w:t>
            </w:r>
          </w:p>
        </w:tc>
        <w:tc>
          <w:tcPr>
            <w:tcW w:w="1134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14 634 072,26</w:t>
            </w:r>
          </w:p>
        </w:tc>
        <w:tc>
          <w:tcPr>
            <w:tcW w:w="1133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12 072 681,42</w:t>
            </w:r>
          </w:p>
        </w:tc>
        <w:tc>
          <w:tcPr>
            <w:tcW w:w="641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97,36</w:t>
            </w:r>
          </w:p>
        </w:tc>
        <w:tc>
          <w:tcPr>
            <w:tcW w:w="636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82,50</w:t>
            </w:r>
          </w:p>
        </w:tc>
        <w:tc>
          <w:tcPr>
            <w:tcW w:w="1278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11 027 675,54</w:t>
            </w:r>
          </w:p>
        </w:tc>
        <w:tc>
          <w:tcPr>
            <w:tcW w:w="706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91,34</w:t>
            </w:r>
          </w:p>
        </w:tc>
        <w:tc>
          <w:tcPr>
            <w:tcW w:w="1279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11 778 508,75</w:t>
            </w:r>
          </w:p>
        </w:tc>
        <w:tc>
          <w:tcPr>
            <w:tcW w:w="670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106,81</w:t>
            </w:r>
          </w:p>
        </w:tc>
      </w:tr>
      <w:tr w:rsidR="00AC7624">
        <w:tc>
          <w:tcPr>
            <w:tcW w:w="984" w:type="dxa"/>
          </w:tcPr>
          <w:p w:rsidR="00AC7624" w:rsidRDefault="008843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условно утверждаемые расходы</w:t>
            </w:r>
          </w:p>
        </w:tc>
        <w:tc>
          <w:tcPr>
            <w:tcW w:w="1109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</w:tcPr>
          <w:p w:rsidR="00AC7624" w:rsidRDefault="00AC7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41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36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8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275 692,00</w:t>
            </w:r>
          </w:p>
        </w:tc>
        <w:tc>
          <w:tcPr>
            <w:tcW w:w="706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9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588 926,00</w:t>
            </w:r>
          </w:p>
        </w:tc>
        <w:tc>
          <w:tcPr>
            <w:tcW w:w="670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-</w:t>
            </w:r>
          </w:p>
        </w:tc>
      </w:tr>
      <w:tr w:rsidR="00AC7624">
        <w:tc>
          <w:tcPr>
            <w:tcW w:w="984" w:type="dxa"/>
          </w:tcPr>
          <w:p w:rsidR="00AC7624" w:rsidRDefault="008843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Дефицит (-), профицит (+)</w:t>
            </w:r>
          </w:p>
        </w:tc>
        <w:tc>
          <w:tcPr>
            <w:tcW w:w="1109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-1 781 812,50</w:t>
            </w:r>
          </w:p>
        </w:tc>
        <w:tc>
          <w:tcPr>
            <w:tcW w:w="1133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641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36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8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6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9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670" w:type="dxa"/>
          </w:tcPr>
          <w:p w:rsidR="00AC7624" w:rsidRDefault="008843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-</w:t>
            </w:r>
            <w:bookmarkStart w:id="6" w:name="_Hlk152237547"/>
            <w:bookmarkEnd w:id="6"/>
          </w:p>
        </w:tc>
      </w:tr>
    </w:tbl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Проект бюджета на 2025 год и плановый период 2026 и 2027 годов соответствует установленным БК РФ принципам сбалансированности бюджета (ст.33 БК РФ) и общего (совокупного) покрытия расходов бюджета (ст.35 БК РФ).</w:t>
      </w:r>
    </w:p>
    <w:p w:rsidR="00AC7624" w:rsidRDefault="00884339">
      <w:pPr>
        <w:widowControl w:val="0"/>
        <w:tabs>
          <w:tab w:val="left" w:pos="0"/>
          <w:tab w:val="left" w:pos="284"/>
        </w:tabs>
        <w:spacing w:after="29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требованиями части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 статьи 184.1 Бюджетного кодекса Российской Федерации в проекте решения о бюджете предусмотрены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условно утвержденные расходы: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2026 году в сумме 275 692 рублей, в 2027 году – в сумме 588 926,00 рублей, что соответствует требованиям Бюджетного кодекса – н</w:t>
      </w:r>
      <w:r>
        <w:rPr>
          <w:rFonts w:ascii="Times New Roman" w:hAnsi="Times New Roman" w:cs="Times New Roman"/>
          <w:color w:val="000000"/>
          <w:sz w:val="24"/>
          <w:szCs w:val="24"/>
        </w:rPr>
        <w:t>е менее 2,5 % на первый год планового периода и 5,0 % на второй год планового периода от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имеющих целевое назначение). Указанные расходы не распределены в плановом периоде по разделам, подразделам, целевым статьям и видам расходов в ведомственной структуре расходов бюджета как резерв на случай непредвиденного сокращения доходов бюджета. Если п</w:t>
      </w:r>
      <w:r>
        <w:rPr>
          <w:rFonts w:ascii="Times New Roman" w:hAnsi="Times New Roman" w:cs="Times New Roman"/>
          <w:color w:val="000000"/>
          <w:sz w:val="24"/>
          <w:szCs w:val="24"/>
        </w:rPr>
        <w:t>рогноз доходов подтвердится, этот резерв используется для принятия новых обязательств в очередном бюджетном цикле.</w:t>
      </w:r>
    </w:p>
    <w:p w:rsidR="00AC7624" w:rsidRDefault="00884339">
      <w:pPr>
        <w:widowControl w:val="0"/>
        <w:tabs>
          <w:tab w:val="left" w:pos="0"/>
          <w:tab w:val="left" w:pos="284"/>
        </w:tabs>
        <w:spacing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Показатели основных характеристик бюджета на 2025 год и плановый период 2026 и 2027 годов, к которым относятся общий объем доходов, общий </w:t>
      </w:r>
      <w:r>
        <w:rPr>
          <w:rFonts w:ascii="Times New Roman" w:hAnsi="Times New Roman" w:cs="Times New Roman"/>
          <w:sz w:val="24"/>
          <w:szCs w:val="24"/>
        </w:rPr>
        <w:t>объем расходов и размер дефицита, установленные статьей 1 проекта бюджета, соответствуют объемам аналогичных показателей в приложениях к проекту бюджета.</w:t>
      </w:r>
    </w:p>
    <w:p w:rsidR="00AC7624" w:rsidRDefault="00884339">
      <w:pPr>
        <w:pStyle w:val="af"/>
        <w:spacing w:after="0" w:line="240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3.1. Доходы бюджета.</w:t>
      </w:r>
    </w:p>
    <w:p w:rsidR="00AC7624" w:rsidRDefault="008843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Формирование налоговых и неналоговых доходов местного бюджета осуществлялось на о</w:t>
      </w:r>
      <w:r>
        <w:rPr>
          <w:rFonts w:ascii="Times New Roman" w:hAnsi="Times New Roman" w:cs="Times New Roman"/>
          <w:sz w:val="24"/>
          <w:szCs w:val="24"/>
        </w:rPr>
        <w:t>снове прогноза социально-экономического развития Еремеевского сельского поселения Полтавского муниципального района, основных направлений бюджетной и  налоговой политики, налогового и бюджетного законодательства, действовавшего на момент составления проект</w:t>
      </w:r>
      <w:r>
        <w:rPr>
          <w:rFonts w:ascii="Times New Roman" w:hAnsi="Times New Roman" w:cs="Times New Roman"/>
          <w:sz w:val="24"/>
          <w:szCs w:val="24"/>
        </w:rPr>
        <w:t>а бюджета и ожидаемой оценки поступлений по налоговым и неналоговым доходам в бюджет за 2024 г.</w:t>
      </w:r>
    </w:p>
    <w:p w:rsidR="00AC7624" w:rsidRDefault="008843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Предусмотренные проектом решения виды налоговых и неналоговых доходов местного бюджета соответствуют перечню, установленному БК РФ. </w:t>
      </w:r>
      <w:bookmarkStart w:id="7" w:name="OLE_LINK5"/>
      <w:bookmarkStart w:id="8" w:name="OLE_LINK4"/>
      <w:bookmarkEnd w:id="7"/>
      <w:bookmarkEnd w:id="8"/>
    </w:p>
    <w:p w:rsidR="00AC7624" w:rsidRDefault="008843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статьей 1</w:t>
      </w:r>
      <w:r>
        <w:rPr>
          <w:rFonts w:ascii="Times New Roman" w:hAnsi="Times New Roman" w:cs="Times New Roman"/>
          <w:sz w:val="24"/>
          <w:szCs w:val="24"/>
        </w:rPr>
        <w:t>60.1 БК РФ прогноз налоговых и неналоговых доходов на 2025 год и плановый период 2026 и 2027 годов сформирован в объемах, спрогнозированных главными администраторами доходов местного бюджета по утвержденным ими методикам.</w:t>
      </w:r>
    </w:p>
    <w:p w:rsidR="00AC7624" w:rsidRDefault="0088433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Структура доходов представлена в с</w:t>
      </w:r>
      <w:r>
        <w:rPr>
          <w:rFonts w:ascii="Times New Roman" w:hAnsi="Times New Roman" w:cs="Times New Roman"/>
          <w:sz w:val="24"/>
          <w:szCs w:val="24"/>
        </w:rPr>
        <w:t>ледующей таблице</w:t>
      </w:r>
    </w:p>
    <w:tbl>
      <w:tblPr>
        <w:tblStyle w:val="af5"/>
        <w:tblW w:w="9606" w:type="dxa"/>
        <w:tblInd w:w="113" w:type="dxa"/>
        <w:tblLayout w:type="fixed"/>
        <w:tblLook w:val="04A0"/>
      </w:tblPr>
      <w:tblGrid>
        <w:gridCol w:w="1352"/>
        <w:gridCol w:w="1193"/>
        <w:gridCol w:w="1023"/>
        <w:gridCol w:w="1132"/>
        <w:gridCol w:w="620"/>
        <w:gridCol w:w="633"/>
        <w:gridCol w:w="1132"/>
        <w:gridCol w:w="682"/>
        <w:gridCol w:w="1189"/>
        <w:gridCol w:w="650"/>
      </w:tblGrid>
      <w:tr w:rsidR="00AC7624">
        <w:tc>
          <w:tcPr>
            <w:tcW w:w="1351" w:type="dxa"/>
            <w:vMerge w:val="restart"/>
          </w:tcPr>
          <w:p w:rsidR="00AC7624" w:rsidRDefault="0088433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 показателя</w:t>
            </w:r>
          </w:p>
        </w:tc>
        <w:tc>
          <w:tcPr>
            <w:tcW w:w="2216" w:type="dxa"/>
            <w:gridSpan w:val="2"/>
          </w:tcPr>
          <w:p w:rsidR="00AC7624" w:rsidRDefault="0088433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Утверждено на 2024 год</w:t>
            </w:r>
          </w:p>
        </w:tc>
        <w:tc>
          <w:tcPr>
            <w:tcW w:w="6038" w:type="dxa"/>
            <w:gridSpan w:val="7"/>
          </w:tcPr>
          <w:p w:rsidR="00AC7624" w:rsidRDefault="0088433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Предусмотрено проектом решения</w:t>
            </w:r>
          </w:p>
        </w:tc>
      </w:tr>
      <w:tr w:rsidR="00AC7624">
        <w:tc>
          <w:tcPr>
            <w:tcW w:w="1351" w:type="dxa"/>
            <w:vMerge/>
          </w:tcPr>
          <w:p w:rsidR="00AC7624" w:rsidRDefault="00AC7624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vMerge w:val="restart"/>
          </w:tcPr>
          <w:p w:rsidR="00AC7624" w:rsidRDefault="0088433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первоначальная редакция, рублей</w:t>
            </w:r>
          </w:p>
          <w:p w:rsidR="00AC7624" w:rsidRDefault="0088433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(решение Совета от 05.12.2023 №57)</w:t>
            </w:r>
          </w:p>
        </w:tc>
        <w:tc>
          <w:tcPr>
            <w:tcW w:w="1023" w:type="dxa"/>
            <w:vMerge w:val="restart"/>
          </w:tcPr>
          <w:p w:rsidR="00AC7624" w:rsidRDefault="0088433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учетом изменений (ред. от 27.09.2024г) рублей</w:t>
            </w:r>
          </w:p>
        </w:tc>
        <w:tc>
          <w:tcPr>
            <w:tcW w:w="2385" w:type="dxa"/>
            <w:gridSpan w:val="3"/>
          </w:tcPr>
          <w:p w:rsidR="00AC7624" w:rsidRDefault="0088433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2025 год</w:t>
            </w:r>
          </w:p>
        </w:tc>
        <w:tc>
          <w:tcPr>
            <w:tcW w:w="1814" w:type="dxa"/>
            <w:gridSpan w:val="2"/>
          </w:tcPr>
          <w:p w:rsidR="00AC7624" w:rsidRDefault="0088433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2026 год</w:t>
            </w:r>
          </w:p>
        </w:tc>
        <w:tc>
          <w:tcPr>
            <w:tcW w:w="1839" w:type="dxa"/>
            <w:gridSpan w:val="2"/>
          </w:tcPr>
          <w:p w:rsidR="00AC7624" w:rsidRDefault="0088433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2027 год</w:t>
            </w:r>
          </w:p>
        </w:tc>
      </w:tr>
      <w:tr w:rsidR="00AC7624">
        <w:trPr>
          <w:trHeight w:val="746"/>
        </w:trPr>
        <w:tc>
          <w:tcPr>
            <w:tcW w:w="1351" w:type="dxa"/>
            <w:vMerge/>
          </w:tcPr>
          <w:p w:rsidR="00AC7624" w:rsidRDefault="00AC7624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vMerge/>
          </w:tcPr>
          <w:p w:rsidR="00AC7624" w:rsidRDefault="00AC7624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1023" w:type="dxa"/>
            <w:vMerge/>
          </w:tcPr>
          <w:p w:rsidR="00AC7624" w:rsidRDefault="00AC7624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620" w:type="dxa"/>
          </w:tcPr>
          <w:p w:rsidR="00AC7624" w:rsidRDefault="0088433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отношение к 2024 году, % к первоначальной редакции</w:t>
            </w:r>
          </w:p>
        </w:tc>
        <w:tc>
          <w:tcPr>
            <w:tcW w:w="633" w:type="dxa"/>
          </w:tcPr>
          <w:p w:rsidR="00AC7624" w:rsidRDefault="0088433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отношение к 2024 году, %с учетом изменений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682" w:type="dxa"/>
          </w:tcPr>
          <w:p w:rsidR="00AC7624" w:rsidRDefault="0088433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отношение к 2025 году, %</w:t>
            </w:r>
          </w:p>
        </w:tc>
        <w:tc>
          <w:tcPr>
            <w:tcW w:w="1189" w:type="dxa"/>
          </w:tcPr>
          <w:p w:rsidR="00AC7624" w:rsidRDefault="0088433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650" w:type="dxa"/>
          </w:tcPr>
          <w:p w:rsidR="00AC7624" w:rsidRDefault="0088433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отношение к 2026 году, %</w:t>
            </w:r>
          </w:p>
        </w:tc>
      </w:tr>
      <w:tr w:rsidR="00AC7624">
        <w:trPr>
          <w:trHeight w:val="746"/>
        </w:trPr>
        <w:tc>
          <w:tcPr>
            <w:tcW w:w="1351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Налоговые и неналоговые доходы, в т.ч.</w:t>
            </w:r>
          </w:p>
        </w:tc>
        <w:tc>
          <w:tcPr>
            <w:tcW w:w="119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8 848 821,00</w:t>
            </w:r>
          </w:p>
        </w:tc>
        <w:tc>
          <w:tcPr>
            <w:tcW w:w="1023" w:type="dxa"/>
          </w:tcPr>
          <w:p w:rsidR="00AC7624" w:rsidRDefault="00884339">
            <w:pPr>
              <w:pStyle w:val="Defaul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9 300 687,97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8 460 348,00</w:t>
            </w:r>
          </w:p>
        </w:tc>
        <w:tc>
          <w:tcPr>
            <w:tcW w:w="62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95,61</w:t>
            </w:r>
          </w:p>
        </w:tc>
        <w:tc>
          <w:tcPr>
            <w:tcW w:w="63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90,96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8 411 004,00</w:t>
            </w:r>
          </w:p>
        </w:tc>
        <w:tc>
          <w:tcPr>
            <w:tcW w:w="68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99,42</w:t>
            </w:r>
          </w:p>
        </w:tc>
        <w:tc>
          <w:tcPr>
            <w:tcW w:w="1189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9 017 343,00</w:t>
            </w:r>
          </w:p>
        </w:tc>
        <w:tc>
          <w:tcPr>
            <w:tcW w:w="65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107,21</w:t>
            </w:r>
          </w:p>
        </w:tc>
      </w:tr>
      <w:tr w:rsidR="00AC7624">
        <w:trPr>
          <w:trHeight w:val="343"/>
        </w:trPr>
        <w:tc>
          <w:tcPr>
            <w:tcW w:w="1351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Удельный вес в общей структуре доходов, %</w:t>
            </w:r>
          </w:p>
        </w:tc>
        <w:tc>
          <w:tcPr>
            <w:tcW w:w="119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:rsidR="00AC7624" w:rsidRDefault="00AC7624">
            <w:pPr>
              <w:pStyle w:val="Default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68,68</w:t>
            </w:r>
          </w:p>
        </w:tc>
        <w:tc>
          <w:tcPr>
            <w:tcW w:w="62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74,45</w:t>
            </w:r>
          </w:p>
        </w:tc>
        <w:tc>
          <w:tcPr>
            <w:tcW w:w="682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74,78</w:t>
            </w:r>
          </w:p>
        </w:tc>
        <w:tc>
          <w:tcPr>
            <w:tcW w:w="65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</w:tr>
      <w:tr w:rsidR="00AC7624">
        <w:trPr>
          <w:trHeight w:val="402"/>
        </w:trPr>
        <w:tc>
          <w:tcPr>
            <w:tcW w:w="1351" w:type="dxa"/>
          </w:tcPr>
          <w:p w:rsidR="00AC7624" w:rsidRDefault="008843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  <w:t>налоговые</w:t>
            </w:r>
          </w:p>
        </w:tc>
        <w:tc>
          <w:tcPr>
            <w:tcW w:w="119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4 744 814,00</w:t>
            </w:r>
          </w:p>
        </w:tc>
        <w:tc>
          <w:tcPr>
            <w:tcW w:w="102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4 906 009,00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4 933 069,00</w:t>
            </w:r>
          </w:p>
        </w:tc>
        <w:tc>
          <w:tcPr>
            <w:tcW w:w="62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103,97</w:t>
            </w:r>
          </w:p>
        </w:tc>
        <w:tc>
          <w:tcPr>
            <w:tcW w:w="63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100,55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4 883 725,00</w:t>
            </w:r>
          </w:p>
        </w:tc>
        <w:tc>
          <w:tcPr>
            <w:tcW w:w="68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99,00</w:t>
            </w:r>
          </w:p>
        </w:tc>
        <w:tc>
          <w:tcPr>
            <w:tcW w:w="1189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5 490 064,00</w:t>
            </w:r>
          </w:p>
        </w:tc>
        <w:tc>
          <w:tcPr>
            <w:tcW w:w="65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112,42</w:t>
            </w:r>
          </w:p>
        </w:tc>
      </w:tr>
      <w:tr w:rsidR="00AC7624">
        <w:trPr>
          <w:trHeight w:val="325"/>
        </w:trPr>
        <w:tc>
          <w:tcPr>
            <w:tcW w:w="1351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Удельный вес в структуре налоговых и </w:t>
            </w:r>
            <w:r>
              <w:rPr>
                <w:sz w:val="14"/>
                <w:szCs w:val="14"/>
              </w:rPr>
              <w:t>неналоговых доходов, %</w:t>
            </w:r>
          </w:p>
        </w:tc>
        <w:tc>
          <w:tcPr>
            <w:tcW w:w="119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58,31</w:t>
            </w:r>
          </w:p>
        </w:tc>
        <w:tc>
          <w:tcPr>
            <w:tcW w:w="62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58,06</w:t>
            </w:r>
          </w:p>
        </w:tc>
        <w:tc>
          <w:tcPr>
            <w:tcW w:w="682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60,88</w:t>
            </w:r>
          </w:p>
        </w:tc>
        <w:tc>
          <w:tcPr>
            <w:tcW w:w="65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</w:tr>
      <w:tr w:rsidR="00AC7624">
        <w:trPr>
          <w:trHeight w:val="576"/>
        </w:trPr>
        <w:tc>
          <w:tcPr>
            <w:tcW w:w="1351" w:type="dxa"/>
          </w:tcPr>
          <w:p w:rsidR="00AC7624" w:rsidRDefault="008843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налоги на прибыль. доходы</w:t>
            </w:r>
          </w:p>
        </w:tc>
        <w:tc>
          <w:tcPr>
            <w:tcW w:w="119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385 013,00</w:t>
            </w:r>
          </w:p>
        </w:tc>
        <w:tc>
          <w:tcPr>
            <w:tcW w:w="102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385 013,00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359 188,00</w:t>
            </w:r>
          </w:p>
        </w:tc>
        <w:tc>
          <w:tcPr>
            <w:tcW w:w="62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93,29</w:t>
            </w:r>
          </w:p>
        </w:tc>
        <w:tc>
          <w:tcPr>
            <w:tcW w:w="63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93,29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379 305,00</w:t>
            </w:r>
          </w:p>
        </w:tc>
        <w:tc>
          <w:tcPr>
            <w:tcW w:w="68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105,60</w:t>
            </w:r>
          </w:p>
        </w:tc>
        <w:tc>
          <w:tcPr>
            <w:tcW w:w="1189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398 496,00</w:t>
            </w:r>
          </w:p>
        </w:tc>
        <w:tc>
          <w:tcPr>
            <w:tcW w:w="65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105,06</w:t>
            </w:r>
          </w:p>
        </w:tc>
      </w:tr>
      <w:tr w:rsidR="00AC7624">
        <w:trPr>
          <w:trHeight w:val="451"/>
        </w:trPr>
        <w:tc>
          <w:tcPr>
            <w:tcW w:w="1351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Удельный вес в структуре налоговых и неналоговых доходов, %</w:t>
            </w:r>
          </w:p>
        </w:tc>
        <w:tc>
          <w:tcPr>
            <w:tcW w:w="119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4,24</w:t>
            </w:r>
          </w:p>
        </w:tc>
        <w:tc>
          <w:tcPr>
            <w:tcW w:w="62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4,51</w:t>
            </w:r>
          </w:p>
        </w:tc>
        <w:tc>
          <w:tcPr>
            <w:tcW w:w="682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4,42</w:t>
            </w:r>
          </w:p>
        </w:tc>
        <w:tc>
          <w:tcPr>
            <w:tcW w:w="65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</w:tr>
      <w:tr w:rsidR="00AC7624">
        <w:trPr>
          <w:trHeight w:val="746"/>
        </w:trPr>
        <w:tc>
          <w:tcPr>
            <w:tcW w:w="1351" w:type="dxa"/>
          </w:tcPr>
          <w:p w:rsidR="00AC7624" w:rsidRDefault="008843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налоги на товары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реализуемые на территории РФ(АКЦИЗЫ)</w:t>
            </w:r>
          </w:p>
        </w:tc>
        <w:tc>
          <w:tcPr>
            <w:tcW w:w="119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1 844 905,00</w:t>
            </w:r>
          </w:p>
        </w:tc>
        <w:tc>
          <w:tcPr>
            <w:tcW w:w="102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2 006 100,00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2 182 881,00</w:t>
            </w:r>
          </w:p>
        </w:tc>
        <w:tc>
          <w:tcPr>
            <w:tcW w:w="62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118,32</w:t>
            </w:r>
          </w:p>
        </w:tc>
        <w:tc>
          <w:tcPr>
            <w:tcW w:w="63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108,81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2 112 860,00</w:t>
            </w:r>
          </w:p>
        </w:tc>
        <w:tc>
          <w:tcPr>
            <w:tcW w:w="68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96,79</w:t>
            </w:r>
          </w:p>
        </w:tc>
        <w:tc>
          <w:tcPr>
            <w:tcW w:w="1189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2 699 481,00</w:t>
            </w:r>
          </w:p>
        </w:tc>
        <w:tc>
          <w:tcPr>
            <w:tcW w:w="65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127,76</w:t>
            </w:r>
          </w:p>
        </w:tc>
      </w:tr>
      <w:tr w:rsidR="00AC7624">
        <w:trPr>
          <w:trHeight w:val="464"/>
        </w:trPr>
        <w:tc>
          <w:tcPr>
            <w:tcW w:w="1351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Удельный вес в структуре налоговых и неналоговых доходов, %</w:t>
            </w:r>
          </w:p>
        </w:tc>
        <w:tc>
          <w:tcPr>
            <w:tcW w:w="119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25,80</w:t>
            </w:r>
          </w:p>
        </w:tc>
        <w:tc>
          <w:tcPr>
            <w:tcW w:w="62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25,12</w:t>
            </w:r>
          </w:p>
        </w:tc>
        <w:tc>
          <w:tcPr>
            <w:tcW w:w="682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29,94</w:t>
            </w:r>
          </w:p>
        </w:tc>
        <w:tc>
          <w:tcPr>
            <w:tcW w:w="65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</w:tr>
      <w:tr w:rsidR="00AC7624">
        <w:trPr>
          <w:trHeight w:val="621"/>
        </w:trPr>
        <w:tc>
          <w:tcPr>
            <w:tcW w:w="1351" w:type="dxa"/>
          </w:tcPr>
          <w:p w:rsidR="00AC7624" w:rsidRDefault="008843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налоги на совокупный доход</w:t>
            </w:r>
          </w:p>
        </w:tc>
        <w:tc>
          <w:tcPr>
            <w:tcW w:w="119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289 896,00</w:t>
            </w:r>
          </w:p>
        </w:tc>
        <w:tc>
          <w:tcPr>
            <w:tcW w:w="102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289 896,00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40 000,00</w:t>
            </w:r>
          </w:p>
        </w:tc>
        <w:tc>
          <w:tcPr>
            <w:tcW w:w="62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13,80</w:t>
            </w:r>
          </w:p>
        </w:tc>
        <w:tc>
          <w:tcPr>
            <w:tcW w:w="63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13,80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40 560,00</w:t>
            </w:r>
          </w:p>
        </w:tc>
        <w:tc>
          <w:tcPr>
            <w:tcW w:w="68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101,40</w:t>
            </w:r>
          </w:p>
        </w:tc>
        <w:tc>
          <w:tcPr>
            <w:tcW w:w="1189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41 087,00</w:t>
            </w:r>
          </w:p>
        </w:tc>
        <w:tc>
          <w:tcPr>
            <w:tcW w:w="65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101,30</w:t>
            </w:r>
          </w:p>
        </w:tc>
      </w:tr>
      <w:tr w:rsidR="00AC7624">
        <w:trPr>
          <w:trHeight w:val="435"/>
        </w:trPr>
        <w:tc>
          <w:tcPr>
            <w:tcW w:w="1351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Удельный вес в структуре налоговых и неналоговых доходов, %</w:t>
            </w:r>
          </w:p>
        </w:tc>
        <w:tc>
          <w:tcPr>
            <w:tcW w:w="119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0,47</w:t>
            </w:r>
          </w:p>
        </w:tc>
        <w:tc>
          <w:tcPr>
            <w:tcW w:w="62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0,48</w:t>
            </w:r>
          </w:p>
        </w:tc>
        <w:tc>
          <w:tcPr>
            <w:tcW w:w="682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</w:tc>
        <w:tc>
          <w:tcPr>
            <w:tcW w:w="65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</w:tr>
      <w:tr w:rsidR="00AC7624">
        <w:trPr>
          <w:trHeight w:val="466"/>
        </w:trPr>
        <w:tc>
          <w:tcPr>
            <w:tcW w:w="1351" w:type="dxa"/>
          </w:tcPr>
          <w:p w:rsidR="00AC7624" w:rsidRDefault="008843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налог на имущество</w:t>
            </w:r>
          </w:p>
        </w:tc>
        <w:tc>
          <w:tcPr>
            <w:tcW w:w="119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2 220 000,00</w:t>
            </w:r>
          </w:p>
        </w:tc>
        <w:tc>
          <w:tcPr>
            <w:tcW w:w="102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2 220 000,00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2 347 000,00</w:t>
            </w:r>
          </w:p>
        </w:tc>
        <w:tc>
          <w:tcPr>
            <w:tcW w:w="62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105,72</w:t>
            </w:r>
          </w:p>
        </w:tc>
        <w:tc>
          <w:tcPr>
            <w:tcW w:w="63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105,72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2 347 000,00</w:t>
            </w:r>
          </w:p>
        </w:tc>
        <w:tc>
          <w:tcPr>
            <w:tcW w:w="68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100,00</w:t>
            </w:r>
          </w:p>
        </w:tc>
        <w:tc>
          <w:tcPr>
            <w:tcW w:w="1189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2 347 000,00</w:t>
            </w:r>
          </w:p>
        </w:tc>
        <w:tc>
          <w:tcPr>
            <w:tcW w:w="65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100,00</w:t>
            </w:r>
          </w:p>
        </w:tc>
      </w:tr>
      <w:tr w:rsidR="00AC7624">
        <w:trPr>
          <w:trHeight w:val="401"/>
        </w:trPr>
        <w:tc>
          <w:tcPr>
            <w:tcW w:w="1351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Удельный вес в структуре налоговых и неналоговых доходов, %</w:t>
            </w:r>
          </w:p>
        </w:tc>
        <w:tc>
          <w:tcPr>
            <w:tcW w:w="119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27,74</w:t>
            </w:r>
          </w:p>
        </w:tc>
        <w:tc>
          <w:tcPr>
            <w:tcW w:w="62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27,90</w:t>
            </w:r>
          </w:p>
        </w:tc>
        <w:tc>
          <w:tcPr>
            <w:tcW w:w="682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26,03</w:t>
            </w:r>
          </w:p>
        </w:tc>
        <w:tc>
          <w:tcPr>
            <w:tcW w:w="65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</w:tr>
      <w:tr w:rsidR="00AC7624">
        <w:trPr>
          <w:trHeight w:val="512"/>
        </w:trPr>
        <w:tc>
          <w:tcPr>
            <w:tcW w:w="1351" w:type="dxa"/>
          </w:tcPr>
          <w:p w:rsidR="00AC7624" w:rsidRDefault="008843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государственная пошлина</w:t>
            </w:r>
          </w:p>
        </w:tc>
        <w:tc>
          <w:tcPr>
            <w:tcW w:w="119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5 000,00</w:t>
            </w:r>
          </w:p>
        </w:tc>
        <w:tc>
          <w:tcPr>
            <w:tcW w:w="102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5 000,00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4 000,00</w:t>
            </w:r>
          </w:p>
        </w:tc>
        <w:tc>
          <w:tcPr>
            <w:tcW w:w="62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80,00</w:t>
            </w:r>
          </w:p>
        </w:tc>
        <w:tc>
          <w:tcPr>
            <w:tcW w:w="63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80,00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4 000,00</w:t>
            </w:r>
          </w:p>
        </w:tc>
        <w:tc>
          <w:tcPr>
            <w:tcW w:w="68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100,00</w:t>
            </w:r>
          </w:p>
        </w:tc>
        <w:tc>
          <w:tcPr>
            <w:tcW w:w="1189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4 000,00</w:t>
            </w:r>
          </w:p>
        </w:tc>
        <w:tc>
          <w:tcPr>
            <w:tcW w:w="65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100,00</w:t>
            </w:r>
          </w:p>
        </w:tc>
      </w:tr>
      <w:tr w:rsidR="00AC7624">
        <w:trPr>
          <w:trHeight w:val="511"/>
        </w:trPr>
        <w:tc>
          <w:tcPr>
            <w:tcW w:w="1351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Удельный вес в структуре налоговых и неналоговых доходов, %</w:t>
            </w:r>
          </w:p>
        </w:tc>
        <w:tc>
          <w:tcPr>
            <w:tcW w:w="119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  <w:tc>
          <w:tcPr>
            <w:tcW w:w="62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  <w:tc>
          <w:tcPr>
            <w:tcW w:w="682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  <w:tc>
          <w:tcPr>
            <w:tcW w:w="65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</w:tr>
      <w:tr w:rsidR="00AC7624">
        <w:trPr>
          <w:trHeight w:val="389"/>
        </w:trPr>
        <w:tc>
          <w:tcPr>
            <w:tcW w:w="1351" w:type="dxa"/>
          </w:tcPr>
          <w:p w:rsidR="00AC7624" w:rsidRDefault="008843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  <w:t>неналоговые</w:t>
            </w:r>
          </w:p>
        </w:tc>
        <w:tc>
          <w:tcPr>
            <w:tcW w:w="119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4 104 007,00</w:t>
            </w:r>
          </w:p>
        </w:tc>
        <w:tc>
          <w:tcPr>
            <w:tcW w:w="102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4 394 678,97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3 527 279,00</w:t>
            </w:r>
          </w:p>
        </w:tc>
        <w:tc>
          <w:tcPr>
            <w:tcW w:w="62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85,95</w:t>
            </w:r>
          </w:p>
        </w:tc>
        <w:tc>
          <w:tcPr>
            <w:tcW w:w="63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80,26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3 527 279,00</w:t>
            </w:r>
          </w:p>
        </w:tc>
        <w:tc>
          <w:tcPr>
            <w:tcW w:w="68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100,00</w:t>
            </w:r>
          </w:p>
        </w:tc>
        <w:tc>
          <w:tcPr>
            <w:tcW w:w="1189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3 527 279,00</w:t>
            </w:r>
          </w:p>
        </w:tc>
        <w:tc>
          <w:tcPr>
            <w:tcW w:w="65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100,00</w:t>
            </w:r>
          </w:p>
        </w:tc>
      </w:tr>
      <w:tr w:rsidR="00AC7624">
        <w:trPr>
          <w:trHeight w:val="402"/>
        </w:trPr>
        <w:tc>
          <w:tcPr>
            <w:tcW w:w="1351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Удельный вес в структуре налоговых и неналоговых доходов, %, %</w:t>
            </w:r>
          </w:p>
        </w:tc>
        <w:tc>
          <w:tcPr>
            <w:tcW w:w="119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41,69</w:t>
            </w:r>
          </w:p>
        </w:tc>
        <w:tc>
          <w:tcPr>
            <w:tcW w:w="62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41,94</w:t>
            </w:r>
          </w:p>
        </w:tc>
        <w:tc>
          <w:tcPr>
            <w:tcW w:w="682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39,12</w:t>
            </w:r>
          </w:p>
        </w:tc>
        <w:tc>
          <w:tcPr>
            <w:tcW w:w="65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</w:tr>
      <w:tr w:rsidR="00AC7624">
        <w:trPr>
          <w:trHeight w:val="746"/>
        </w:trPr>
        <w:tc>
          <w:tcPr>
            <w:tcW w:w="1351" w:type="dxa"/>
          </w:tcPr>
          <w:p w:rsidR="00AC7624" w:rsidRDefault="008843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Доходы от использования имущества, находящегося в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государственной и муниципальной собственности</w:t>
            </w:r>
          </w:p>
        </w:tc>
        <w:tc>
          <w:tcPr>
            <w:tcW w:w="119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4 104 007,00</w:t>
            </w:r>
          </w:p>
        </w:tc>
        <w:tc>
          <w:tcPr>
            <w:tcW w:w="102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4 126 833,59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3 447 279,00</w:t>
            </w:r>
          </w:p>
        </w:tc>
        <w:tc>
          <w:tcPr>
            <w:tcW w:w="62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84,00</w:t>
            </w:r>
          </w:p>
        </w:tc>
        <w:tc>
          <w:tcPr>
            <w:tcW w:w="63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83,53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3 447 279,00</w:t>
            </w:r>
          </w:p>
        </w:tc>
        <w:tc>
          <w:tcPr>
            <w:tcW w:w="68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100,00</w:t>
            </w:r>
          </w:p>
        </w:tc>
        <w:tc>
          <w:tcPr>
            <w:tcW w:w="1189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3 447 279,00</w:t>
            </w:r>
          </w:p>
        </w:tc>
        <w:tc>
          <w:tcPr>
            <w:tcW w:w="65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100,00</w:t>
            </w:r>
          </w:p>
        </w:tc>
      </w:tr>
      <w:tr w:rsidR="00AC7624">
        <w:trPr>
          <w:trHeight w:val="395"/>
        </w:trPr>
        <w:tc>
          <w:tcPr>
            <w:tcW w:w="1351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Удельный вес в структуре налоговых и неналоговых доходов, %</w:t>
            </w:r>
          </w:p>
        </w:tc>
        <w:tc>
          <w:tcPr>
            <w:tcW w:w="119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40,74</w:t>
            </w:r>
          </w:p>
        </w:tc>
        <w:tc>
          <w:tcPr>
            <w:tcW w:w="62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40,99</w:t>
            </w:r>
          </w:p>
        </w:tc>
        <w:tc>
          <w:tcPr>
            <w:tcW w:w="682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38,23</w:t>
            </w:r>
          </w:p>
        </w:tc>
        <w:tc>
          <w:tcPr>
            <w:tcW w:w="65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</w:tr>
      <w:tr w:rsidR="00AC7624">
        <w:trPr>
          <w:trHeight w:val="746"/>
        </w:trPr>
        <w:tc>
          <w:tcPr>
            <w:tcW w:w="1351" w:type="dxa"/>
          </w:tcPr>
          <w:p w:rsidR="00AC7624" w:rsidRDefault="008843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Доходы от оказания платных услуг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и компенсации затрат государства</w:t>
            </w:r>
          </w:p>
        </w:tc>
        <w:tc>
          <w:tcPr>
            <w:tcW w:w="119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157 645,38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80 000,00</w:t>
            </w:r>
          </w:p>
        </w:tc>
        <w:tc>
          <w:tcPr>
            <w:tcW w:w="62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3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50,75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80 000,00</w:t>
            </w:r>
          </w:p>
        </w:tc>
        <w:tc>
          <w:tcPr>
            <w:tcW w:w="68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100,00</w:t>
            </w:r>
          </w:p>
        </w:tc>
        <w:tc>
          <w:tcPr>
            <w:tcW w:w="1189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80 000,00</w:t>
            </w:r>
          </w:p>
        </w:tc>
        <w:tc>
          <w:tcPr>
            <w:tcW w:w="65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100,00</w:t>
            </w:r>
          </w:p>
        </w:tc>
      </w:tr>
      <w:tr w:rsidR="00AC7624">
        <w:trPr>
          <w:trHeight w:val="449"/>
        </w:trPr>
        <w:tc>
          <w:tcPr>
            <w:tcW w:w="1351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Удельный вес, %</w:t>
            </w:r>
          </w:p>
        </w:tc>
        <w:tc>
          <w:tcPr>
            <w:tcW w:w="119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0,95</w:t>
            </w:r>
          </w:p>
        </w:tc>
        <w:tc>
          <w:tcPr>
            <w:tcW w:w="62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0,95</w:t>
            </w:r>
          </w:p>
        </w:tc>
        <w:tc>
          <w:tcPr>
            <w:tcW w:w="682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0,95</w:t>
            </w:r>
          </w:p>
        </w:tc>
        <w:tc>
          <w:tcPr>
            <w:tcW w:w="65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</w:tr>
      <w:tr w:rsidR="00AC7624">
        <w:trPr>
          <w:trHeight w:val="746"/>
        </w:trPr>
        <w:tc>
          <w:tcPr>
            <w:tcW w:w="1351" w:type="dxa"/>
          </w:tcPr>
          <w:p w:rsidR="00AC7624" w:rsidRDefault="008843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Прочие неналоговые платежи</w:t>
            </w:r>
          </w:p>
        </w:tc>
        <w:tc>
          <w:tcPr>
            <w:tcW w:w="119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110 200,00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2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3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8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89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5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C7624">
        <w:trPr>
          <w:trHeight w:val="746"/>
        </w:trPr>
        <w:tc>
          <w:tcPr>
            <w:tcW w:w="1351" w:type="dxa"/>
          </w:tcPr>
          <w:p w:rsidR="00AC7624" w:rsidRDefault="008843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  <w:t>Безвозмездные поступления</w:t>
            </w:r>
          </w:p>
        </w:tc>
        <w:tc>
          <w:tcPr>
            <w:tcW w:w="119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3 551 571,79</w:t>
            </w:r>
          </w:p>
        </w:tc>
        <w:tc>
          <w:tcPr>
            <w:tcW w:w="102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15 183 340,29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3 857 287,42</w:t>
            </w:r>
          </w:p>
        </w:tc>
        <w:tc>
          <w:tcPr>
            <w:tcW w:w="62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108,61</w:t>
            </w:r>
          </w:p>
        </w:tc>
        <w:tc>
          <w:tcPr>
            <w:tcW w:w="63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25,40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2 886 047,54</w:t>
            </w:r>
          </w:p>
        </w:tc>
        <w:tc>
          <w:tcPr>
            <w:tcW w:w="68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74,82</w:t>
            </w:r>
          </w:p>
        </w:tc>
        <w:tc>
          <w:tcPr>
            <w:tcW w:w="1189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3 040 679,75</w:t>
            </w:r>
          </w:p>
        </w:tc>
        <w:tc>
          <w:tcPr>
            <w:tcW w:w="65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105,36</w:t>
            </w:r>
          </w:p>
        </w:tc>
      </w:tr>
      <w:tr w:rsidR="00AC7624">
        <w:trPr>
          <w:trHeight w:val="746"/>
        </w:trPr>
        <w:tc>
          <w:tcPr>
            <w:tcW w:w="1351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Удельный вес в общей структуре доходов, %</w:t>
            </w:r>
          </w:p>
        </w:tc>
        <w:tc>
          <w:tcPr>
            <w:tcW w:w="119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31,32</w:t>
            </w:r>
          </w:p>
        </w:tc>
        <w:tc>
          <w:tcPr>
            <w:tcW w:w="62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25,55</w:t>
            </w:r>
          </w:p>
        </w:tc>
        <w:tc>
          <w:tcPr>
            <w:tcW w:w="682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25,22</w:t>
            </w:r>
          </w:p>
        </w:tc>
        <w:tc>
          <w:tcPr>
            <w:tcW w:w="65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</w:tr>
      <w:tr w:rsidR="00AC7624">
        <w:trPr>
          <w:trHeight w:val="746"/>
        </w:trPr>
        <w:tc>
          <w:tcPr>
            <w:tcW w:w="1351" w:type="dxa"/>
          </w:tcPr>
          <w:p w:rsidR="00AC7624" w:rsidRDefault="008843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9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3 551 571,79</w:t>
            </w:r>
          </w:p>
        </w:tc>
        <w:tc>
          <w:tcPr>
            <w:tcW w:w="102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3 551 571,79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3 612 333,42</w:t>
            </w:r>
          </w:p>
        </w:tc>
        <w:tc>
          <w:tcPr>
            <w:tcW w:w="62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101,71</w:t>
            </w:r>
          </w:p>
        </w:tc>
        <w:tc>
          <w:tcPr>
            <w:tcW w:w="63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101,71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2 616 671,54</w:t>
            </w:r>
          </w:p>
        </w:tc>
        <w:tc>
          <w:tcPr>
            <w:tcW w:w="68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72,44</w:t>
            </w:r>
          </w:p>
        </w:tc>
        <w:tc>
          <w:tcPr>
            <w:tcW w:w="1189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2 761 165,75</w:t>
            </w:r>
          </w:p>
        </w:tc>
        <w:tc>
          <w:tcPr>
            <w:tcW w:w="65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105,52</w:t>
            </w:r>
          </w:p>
        </w:tc>
      </w:tr>
      <w:tr w:rsidR="00AC7624">
        <w:trPr>
          <w:trHeight w:val="335"/>
        </w:trPr>
        <w:tc>
          <w:tcPr>
            <w:tcW w:w="1351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Удельный вес в структуре безвозмездных поступлений, %</w:t>
            </w:r>
          </w:p>
        </w:tc>
        <w:tc>
          <w:tcPr>
            <w:tcW w:w="119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93,65</w:t>
            </w:r>
          </w:p>
        </w:tc>
        <w:tc>
          <w:tcPr>
            <w:tcW w:w="62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90,67</w:t>
            </w:r>
          </w:p>
        </w:tc>
        <w:tc>
          <w:tcPr>
            <w:tcW w:w="682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90,81</w:t>
            </w:r>
          </w:p>
        </w:tc>
        <w:tc>
          <w:tcPr>
            <w:tcW w:w="65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</w:tr>
      <w:tr w:rsidR="00AC7624">
        <w:trPr>
          <w:trHeight w:val="390"/>
        </w:trPr>
        <w:tc>
          <w:tcPr>
            <w:tcW w:w="1351" w:type="dxa"/>
          </w:tcPr>
          <w:p w:rsidR="00AC7624" w:rsidRDefault="008843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Субсидии</w:t>
            </w:r>
          </w:p>
        </w:tc>
        <w:tc>
          <w:tcPr>
            <w:tcW w:w="119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8 700 000,00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2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3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8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89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5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C7624">
        <w:trPr>
          <w:trHeight w:val="746"/>
        </w:trPr>
        <w:tc>
          <w:tcPr>
            <w:tcW w:w="1351" w:type="dxa"/>
          </w:tcPr>
          <w:p w:rsidR="00AC7624" w:rsidRDefault="008843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9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--</w:t>
            </w:r>
          </w:p>
        </w:tc>
        <w:tc>
          <w:tcPr>
            <w:tcW w:w="102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228 228,00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244 954,00</w:t>
            </w:r>
          </w:p>
        </w:tc>
        <w:tc>
          <w:tcPr>
            <w:tcW w:w="62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3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107,32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269 376,00</w:t>
            </w:r>
          </w:p>
        </w:tc>
        <w:tc>
          <w:tcPr>
            <w:tcW w:w="68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109,97</w:t>
            </w:r>
          </w:p>
        </w:tc>
        <w:tc>
          <w:tcPr>
            <w:tcW w:w="1189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279 514,00</w:t>
            </w:r>
          </w:p>
        </w:tc>
        <w:tc>
          <w:tcPr>
            <w:tcW w:w="65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103,76</w:t>
            </w:r>
          </w:p>
        </w:tc>
      </w:tr>
      <w:tr w:rsidR="00AC7624">
        <w:trPr>
          <w:trHeight w:val="464"/>
        </w:trPr>
        <w:tc>
          <w:tcPr>
            <w:tcW w:w="1351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Удельный вес, %</w:t>
            </w:r>
          </w:p>
        </w:tc>
        <w:tc>
          <w:tcPr>
            <w:tcW w:w="119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6,35</w:t>
            </w:r>
          </w:p>
        </w:tc>
        <w:tc>
          <w:tcPr>
            <w:tcW w:w="62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9,33</w:t>
            </w:r>
          </w:p>
        </w:tc>
        <w:tc>
          <w:tcPr>
            <w:tcW w:w="682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9,19</w:t>
            </w:r>
          </w:p>
        </w:tc>
        <w:tc>
          <w:tcPr>
            <w:tcW w:w="65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</w:tr>
      <w:tr w:rsidR="00AC7624">
        <w:trPr>
          <w:trHeight w:val="746"/>
        </w:trPr>
        <w:tc>
          <w:tcPr>
            <w:tcW w:w="1351" w:type="dxa"/>
          </w:tcPr>
          <w:p w:rsidR="00AC7624" w:rsidRDefault="008843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119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2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2 703 540,50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2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3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8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89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5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C7624">
        <w:trPr>
          <w:trHeight w:val="447"/>
        </w:trPr>
        <w:tc>
          <w:tcPr>
            <w:tcW w:w="1351" w:type="dxa"/>
          </w:tcPr>
          <w:p w:rsidR="00AC7624" w:rsidRDefault="008843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Всего доходов</w:t>
            </w:r>
          </w:p>
        </w:tc>
        <w:tc>
          <w:tcPr>
            <w:tcW w:w="119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12 400 392,79</w:t>
            </w:r>
          </w:p>
        </w:tc>
        <w:tc>
          <w:tcPr>
            <w:tcW w:w="102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24 484 028,26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12 317 635,42</w:t>
            </w:r>
          </w:p>
        </w:tc>
        <w:tc>
          <w:tcPr>
            <w:tcW w:w="62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99,33</w:t>
            </w:r>
          </w:p>
        </w:tc>
        <w:tc>
          <w:tcPr>
            <w:tcW w:w="633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50,31</w:t>
            </w:r>
          </w:p>
        </w:tc>
        <w:tc>
          <w:tcPr>
            <w:tcW w:w="113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11 297 051,54</w:t>
            </w:r>
          </w:p>
        </w:tc>
        <w:tc>
          <w:tcPr>
            <w:tcW w:w="682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91,71</w:t>
            </w:r>
          </w:p>
        </w:tc>
        <w:tc>
          <w:tcPr>
            <w:tcW w:w="1189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12 058 022,75</w:t>
            </w:r>
          </w:p>
        </w:tc>
        <w:tc>
          <w:tcPr>
            <w:tcW w:w="650" w:type="dxa"/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106,74</w:t>
            </w:r>
          </w:p>
        </w:tc>
      </w:tr>
      <w:tr w:rsidR="00AC7624">
        <w:trPr>
          <w:trHeight w:val="402"/>
        </w:trPr>
        <w:tc>
          <w:tcPr>
            <w:tcW w:w="1351" w:type="dxa"/>
            <w:tcBorders>
              <w:top w:val="nil"/>
            </w:tcBorders>
          </w:tcPr>
          <w:p w:rsidR="00AC7624" w:rsidRDefault="008843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Удельный вес,%</w:t>
            </w:r>
          </w:p>
        </w:tc>
        <w:tc>
          <w:tcPr>
            <w:tcW w:w="119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100,00</w:t>
            </w:r>
          </w:p>
        </w:tc>
        <w:tc>
          <w:tcPr>
            <w:tcW w:w="62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100,00</w:t>
            </w:r>
          </w:p>
        </w:tc>
        <w:tc>
          <w:tcPr>
            <w:tcW w:w="682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AC7624" w:rsidRDefault="00884339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100,00</w:t>
            </w:r>
          </w:p>
        </w:tc>
        <w:tc>
          <w:tcPr>
            <w:tcW w:w="650" w:type="dxa"/>
            <w:tcBorders>
              <w:top w:val="nil"/>
            </w:tcBorders>
          </w:tcPr>
          <w:p w:rsidR="00AC7624" w:rsidRDefault="00AC762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</w:tr>
    </w:tbl>
    <w:p w:rsidR="00AC7624" w:rsidRDefault="008843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Доходы бюджета на 2025 год прогнозируются со снижением  как к первоначально утвержденному бюджету на 2024 год на 0,67%, так и к уточненному на 49,69%.  В плановом 2026 году запланировано снижение объема поступлений доходной части бюджета </w:t>
      </w:r>
      <w:r>
        <w:rPr>
          <w:rFonts w:ascii="Times New Roman" w:hAnsi="Times New Roman" w:cs="Times New Roman"/>
          <w:sz w:val="24"/>
          <w:szCs w:val="24"/>
        </w:rPr>
        <w:t>на 8,29% к уровню 2025 года, в 2027 году планируется поступление с ростом к уровню 2026 года на 6,74%.</w:t>
      </w:r>
    </w:p>
    <w:p w:rsidR="00AC7624" w:rsidRDefault="008843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В структуре местного бюджета в 2025 году и плановом периоде 2026 и 2027 годов, как и в предыдущие годы, в значительной мере сформированы за счет налоговы</w:t>
      </w:r>
      <w:r>
        <w:rPr>
          <w:rFonts w:ascii="Times New Roman" w:hAnsi="Times New Roman" w:cs="Times New Roman"/>
          <w:sz w:val="24"/>
          <w:szCs w:val="24"/>
        </w:rPr>
        <w:t>х и неналоговых доходов, доля которых в общей структуре доходов занимает долю 68,68% в 2025 году, 74,45% и 74,78% соответственно в 2026 и 2027 году.</w:t>
      </w:r>
    </w:p>
    <w:p w:rsidR="00AC7624" w:rsidRDefault="008843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Налоговые доходы в структуре налоговых и неналоговых доходов имеют долю 58,31%в 2025 году, а в плановом пер</w:t>
      </w:r>
      <w:r>
        <w:rPr>
          <w:rFonts w:ascii="Times New Roman" w:hAnsi="Times New Roman" w:cs="Times New Roman"/>
          <w:sz w:val="24"/>
          <w:szCs w:val="24"/>
        </w:rPr>
        <w:t xml:space="preserve">иоде 2026 и 2027 годов 58,06% и 60,88% соответственно. </w:t>
      </w:r>
    </w:p>
    <w:p w:rsidR="00AC7624" w:rsidRDefault="00884339">
      <w:pPr>
        <w:pStyle w:val="af1"/>
        <w:spacing w:after="0"/>
        <w:ind w:left="0" w:firstLine="709"/>
        <w:jc w:val="both"/>
      </w:pPr>
      <w:r>
        <w:rPr>
          <w:b/>
        </w:rPr>
        <w:t xml:space="preserve">Налоги на прибыль, доходы, </w:t>
      </w:r>
      <w:r>
        <w:t>спланированы</w:t>
      </w:r>
      <w:r>
        <w:t xml:space="preserve"> в виде поступлений налога на доход физических лиц на 2025 год в объеме 359 188,00 рублей, со снижением к уровню 2024 года (уточненной редакции, ожидаемому испол</w:t>
      </w:r>
      <w:r>
        <w:t>нению) на 6,71% (в структуре налоговых и неналоговых доходов занимает 4,25%), в плановом периоде 2026 года спланирован  в сумме 379 305,00 рублей (доля в структуре налоговых и неналоговых доходов 4,51%), с ростом к уровню 2025 года 5,60%, в 2027 году в сум</w:t>
      </w:r>
      <w:r>
        <w:t>ме 398 496,00 рублей (доля в структуре налоговых и неналоговых доходов бюджета 4,42%) с ростом к уровню 2026 года на 5,06%. Прогноз поступлений определен исходя из оценки ожидаемых поступлений по налогу на доходы физических лиц в 2024 году,  с учетом динам</w:t>
      </w:r>
      <w:r>
        <w:t xml:space="preserve">ики показателя «Фонда начисленной заработной платы работников» прогноза социально-экономического развития Еремеевского сельского поселения на 2025 год и на плановый период </w:t>
      </w:r>
      <w:r>
        <w:rPr>
          <w:color w:val="000000"/>
        </w:rPr>
        <w:t>до 2027 года.</w:t>
      </w:r>
    </w:p>
    <w:p w:rsidR="00AC7624" w:rsidRDefault="008843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Прогноз поступлений </w:t>
      </w:r>
      <w:r>
        <w:rPr>
          <w:rFonts w:ascii="Times New Roman" w:hAnsi="Times New Roman" w:cs="Times New Roman"/>
          <w:b/>
          <w:sz w:val="24"/>
          <w:szCs w:val="24"/>
        </w:rPr>
        <w:t>акцизов по подакцизным товарам (продукции)</w:t>
      </w:r>
      <w:r>
        <w:rPr>
          <w:rFonts w:ascii="Times New Roman" w:hAnsi="Times New Roman" w:cs="Times New Roman"/>
          <w:sz w:val="24"/>
          <w:szCs w:val="24"/>
        </w:rPr>
        <w:t>, произв</w:t>
      </w:r>
      <w:r>
        <w:rPr>
          <w:rFonts w:ascii="Times New Roman" w:hAnsi="Times New Roman" w:cs="Times New Roman"/>
          <w:sz w:val="24"/>
          <w:szCs w:val="24"/>
        </w:rPr>
        <w:t>одимым на территории Российской Федерации основан на оценке ожидаемого поступления акцизов в 2024 году.</w:t>
      </w:r>
    </w:p>
    <w:p w:rsidR="00AC7624" w:rsidRDefault="00884339">
      <w:pPr>
        <w:pStyle w:val="Style9"/>
        <w:widowControl/>
        <w:spacing w:line="240" w:lineRule="auto"/>
        <w:ind w:firstLine="709"/>
      </w:pPr>
      <w:r>
        <w:t>В бюджет сельского поселения подлежат зачислению акцизы на автомобильный и прямогонный бензин, дизельное топливо, моторные масла для дизельных и (или) к</w:t>
      </w:r>
      <w:r>
        <w:t>арбюраторных двигателей, производимых на территории Российской Федерации.</w:t>
      </w:r>
    </w:p>
    <w:p w:rsidR="00AC7624" w:rsidRDefault="00884339">
      <w:pPr>
        <w:pStyle w:val="Style9"/>
        <w:widowControl/>
        <w:spacing w:line="240" w:lineRule="auto"/>
        <w:ind w:firstLine="709"/>
      </w:pPr>
      <w:r>
        <w:t>Дифференцированный норматив отчисления в бюджет сельского поселения на 2025-2027 годы составляет 0,0278 процента.</w:t>
      </w:r>
    </w:p>
    <w:p w:rsidR="00AC7624" w:rsidRDefault="00884339">
      <w:pPr>
        <w:pStyle w:val="Style9"/>
        <w:widowControl/>
        <w:spacing w:line="240" w:lineRule="auto"/>
        <w:ind w:firstLine="709"/>
      </w:pPr>
      <w:r>
        <w:t>На 2025 год сформирован прогноз поступления дохода в сумме 2 182 881</w:t>
      </w:r>
      <w:r>
        <w:t>,00 рублей (удельный вес в структуре налоговых и неналоговых доходов 25,80%) с ростом к уровню 2024 года на 8,81 %, в плановом периоде в 2026 году предусмотрено поступление в сумме 2 112 860,00 рублей (доля в структуре налоговых доходов 25,12%), со снижени</w:t>
      </w:r>
      <w:r>
        <w:t>ем к уровню поступлений 2025 года на 3,21%  и в 2027 году с ростом к 2026 году на 27,76% или в абсолютном выражении в сумме 2 699 481,00 рублей (доля в структуре налоговых доходов 29,94%).</w:t>
      </w:r>
    </w:p>
    <w:p w:rsidR="00AC7624" w:rsidRDefault="00884339">
      <w:pPr>
        <w:pStyle w:val="Style9"/>
        <w:widowControl/>
        <w:spacing w:line="240" w:lineRule="auto"/>
        <w:ind w:firstLine="709"/>
      </w:pPr>
      <w:r>
        <w:t xml:space="preserve">Прогноз </w:t>
      </w:r>
      <w:r>
        <w:rPr>
          <w:b/>
        </w:rPr>
        <w:t xml:space="preserve">налога на совокупный доход (единый сельскохозяйственный </w:t>
      </w:r>
      <w:r>
        <w:rPr>
          <w:b/>
        </w:rPr>
        <w:t>налог)</w:t>
      </w:r>
      <w:r>
        <w:t xml:space="preserve"> производился на основании оценки ожидаемых поступлений в 2024 году с учетом  ожидаемой прибыли крупных и средних организаций сельского хозяйства. На 2025 предусмотрен в сумме 40 000,00 рублей (доля в структуре налоговых и неналоговых доходов 0,47%) </w:t>
      </w:r>
      <w:r>
        <w:t>со снижением к уточненной редакции  бюджета 2024 года на  86,20%, в плановом периоде 2026 года предусмотрен рост поступления налога на 1,40% к уровню поступления в 2025 году или в сумме 40 560,00 рублей (доля в структуре налоговых и неналоговых доходов 0,4</w:t>
      </w:r>
      <w:r>
        <w:t>8%), в 2027 году рост 1,30% к уровню 2026 года  или 41 087,00 рублей (доля в структуре налоговых и неналоговых доходов 0,46%).</w:t>
      </w:r>
    </w:p>
    <w:p w:rsidR="00AC7624" w:rsidRDefault="00884339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Налог на имущество</w:t>
      </w:r>
      <w:r>
        <w:rPr>
          <w:rFonts w:ascii="Times New Roman" w:hAnsi="Times New Roman" w:cs="Times New Roman"/>
          <w:sz w:val="24"/>
          <w:szCs w:val="24"/>
        </w:rPr>
        <w:t xml:space="preserve"> основан на оценке ожидаемого поступления в 2024 году и спланирован в 2025 году в сумме 2 347 000,00 рублей (до</w:t>
      </w:r>
      <w:r>
        <w:rPr>
          <w:rFonts w:ascii="Times New Roman" w:hAnsi="Times New Roman" w:cs="Times New Roman"/>
          <w:sz w:val="24"/>
          <w:szCs w:val="24"/>
        </w:rPr>
        <w:t xml:space="preserve">ля в структуре налоговых и неналоговых доходов 27,74%) с ростом к уровню 2024 года на 5,72%. В плановом периоде предусмотрено поступление на уровне 2025 года. 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Государственная пошлина</w:t>
      </w:r>
      <w:r>
        <w:rPr>
          <w:rFonts w:ascii="Times New Roman" w:hAnsi="Times New Roman" w:cs="Times New Roman"/>
          <w:sz w:val="24"/>
          <w:szCs w:val="24"/>
        </w:rPr>
        <w:t>, прогноз налога производился на основании оценки ожидаемых поступлений в</w:t>
      </w:r>
      <w:r>
        <w:rPr>
          <w:rFonts w:ascii="Times New Roman" w:hAnsi="Times New Roman" w:cs="Times New Roman"/>
          <w:sz w:val="24"/>
          <w:szCs w:val="24"/>
        </w:rPr>
        <w:t xml:space="preserve"> 2024 году исходя из сложившейся базы поступлений налога. В 2025 году планируется поступление в сумме 4 000,00 рублей, что ниже уровня 2024 года на 20,00%. В плановом периоде 2026, 2027 годов ожидается поступление на уровне 2025 года.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Неналоговые доходы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2025 год предусмотрены в сумме 3 527 279,00 рублей (доля в структуре налоговых и неналоговых доходов 41,69%) со снижением к уровню ожидаемой оценки 2024 года на 19,74%, в плановом периоде поступление предусмотрено на уровне 2025 года. Основным неналоговым</w:t>
      </w:r>
      <w:r>
        <w:rPr>
          <w:rFonts w:ascii="Times New Roman" w:hAnsi="Times New Roman" w:cs="Times New Roman"/>
          <w:sz w:val="24"/>
          <w:szCs w:val="24"/>
        </w:rPr>
        <w:t xml:space="preserve"> источником в доходной части поселения является поступление дохода от использования имущества, находящегося в государственной и муниципальной собственности поселения (имеет долю в структуре неналоговых доходов 97,73%) и запланировано поступление дохода от </w:t>
      </w:r>
      <w:r>
        <w:rPr>
          <w:rFonts w:ascii="Times New Roman" w:hAnsi="Times New Roman" w:cs="Times New Roman"/>
          <w:sz w:val="24"/>
          <w:szCs w:val="24"/>
        </w:rPr>
        <w:t>оказания платных услуг и компенсации затрат государства  в сумме 80 000,00 рублей ежегодно.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Безвозмездные поступления</w:t>
      </w:r>
      <w:r>
        <w:rPr>
          <w:rFonts w:ascii="Times New Roman" w:hAnsi="Times New Roman" w:cs="Times New Roman"/>
          <w:sz w:val="24"/>
          <w:szCs w:val="24"/>
        </w:rPr>
        <w:t xml:space="preserve"> запланированы на 2025 год в сумме 3 857 287,42 рублей (доля в структуре доходов бюджета 31,32%), со снижением к уровню уточненного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2024 года на 74,60%, в плановом 2026 году в сумме 2 886 047,54 рублей (доля в структуре доходов бюджета 25,55%)  со снижением к уровню 2025 года на 74,45%, в 2027 году 3 040 679,75 рублей (доля в структуре доходов бюджета 25,22%) с ростом к уровню 2026 го</w:t>
      </w:r>
      <w:r>
        <w:rPr>
          <w:rFonts w:ascii="Times New Roman" w:hAnsi="Times New Roman" w:cs="Times New Roman"/>
          <w:sz w:val="24"/>
          <w:szCs w:val="24"/>
        </w:rPr>
        <w:t>да на 5,36%.</w:t>
      </w:r>
    </w:p>
    <w:p w:rsidR="00AC7624" w:rsidRDefault="008843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В части безвозмездных поступлений в доходах бюджета запланировано поступление дотации на выравнивание бюджетной обеспеченности поселений из районного бюджета. Объем поступлений на 2025 год планируется в сумме 3 612 333,42 рублей с ростом на 1,</w:t>
      </w:r>
      <w:r>
        <w:rPr>
          <w:rFonts w:ascii="Times New Roman" w:hAnsi="Times New Roman" w:cs="Times New Roman"/>
          <w:sz w:val="24"/>
          <w:szCs w:val="24"/>
        </w:rPr>
        <w:t>71% к отношению к первоначально утвержденному бюджету на 2024 год и к уточненным плановым значениям 2024 года, плановый период 2026 года спланирован с уменьшением поступлений на  27,56% к поступлению 2025 года в сумме 2 616 671,54 рублей  и в 2027 год с ро</w:t>
      </w:r>
      <w:r>
        <w:rPr>
          <w:rFonts w:ascii="Times New Roman" w:hAnsi="Times New Roman" w:cs="Times New Roman"/>
          <w:sz w:val="24"/>
          <w:szCs w:val="24"/>
        </w:rPr>
        <w:t>стом к 2026 году на 5,52%.</w:t>
      </w:r>
    </w:p>
    <w:p w:rsidR="00AC7624" w:rsidRDefault="008843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Безвозмездные поступления целевого характера из федерального бюджета отражены в доходной и расходной частях местного бюджета по соответствующим кодам бюджетной классификации на 2025 год в сумме 244 954,00 рублей с ростом на 7,32%</w:t>
      </w:r>
      <w:r>
        <w:rPr>
          <w:rFonts w:ascii="Times New Roman" w:hAnsi="Times New Roman" w:cs="Times New Roman"/>
          <w:sz w:val="24"/>
          <w:szCs w:val="24"/>
        </w:rPr>
        <w:t xml:space="preserve"> к уровню 2024 года, на плановый период 2026 и 2027 годов в сумме 269 376,00 рублей и 279 514,00 рублей с ростом на 9,97% и 3,76% соответственно.</w:t>
      </w:r>
    </w:p>
    <w:p w:rsidR="00AC7624" w:rsidRDefault="00AC762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7624" w:rsidRDefault="00884339">
      <w:pPr>
        <w:spacing w:after="0" w:line="240" w:lineRule="auto"/>
        <w:ind w:firstLine="709"/>
        <w:jc w:val="center"/>
      </w:pPr>
      <w:r>
        <w:rPr>
          <w:rStyle w:val="FontStyle34"/>
          <w:b/>
          <w:sz w:val="24"/>
          <w:szCs w:val="24"/>
        </w:rPr>
        <w:t>3.2. Расходы бюджета</w:t>
      </w:r>
    </w:p>
    <w:p w:rsidR="00AC7624" w:rsidRDefault="00884339">
      <w:pPr>
        <w:pStyle w:val="af2"/>
        <w:tabs>
          <w:tab w:val="left" w:pos="567"/>
        </w:tabs>
        <w:ind w:firstLine="709"/>
        <w:jc w:val="both"/>
      </w:pPr>
      <w:r>
        <w:rPr>
          <w:sz w:val="24"/>
        </w:rPr>
        <w:t>Расходы бюджета на 2025 год и плановый период 2026 и 2027 годов сформированы с учетом тр</w:t>
      </w:r>
      <w:r>
        <w:rPr>
          <w:sz w:val="24"/>
        </w:rPr>
        <w:t>ебований ст.ст.184.1., 184.2. БК РФ, в разрезе муниципальных программ, финансирование которых составляет 100,00% от общего объема расходов в 2025-2027 годах.</w:t>
      </w:r>
    </w:p>
    <w:p w:rsidR="00AC7624" w:rsidRDefault="00884339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Расходная часть бюджета сформирована в соответствии с законодательно обусловленными расходными обязательствами, исполнение которых должно производиться в очередном финансовом году и плановом периоде за счет бюджетных средств. </w:t>
      </w:r>
      <w:r>
        <w:rPr>
          <w:rFonts w:ascii="Times New Roman" w:hAnsi="Times New Roman" w:cs="Times New Roman"/>
          <w:bCs/>
          <w:sz w:val="24"/>
          <w:szCs w:val="24"/>
        </w:rPr>
        <w:t>Расчет планируемых ассигновани</w:t>
      </w:r>
      <w:r>
        <w:rPr>
          <w:rFonts w:ascii="Times New Roman" w:hAnsi="Times New Roman" w:cs="Times New Roman"/>
          <w:bCs/>
          <w:sz w:val="24"/>
          <w:szCs w:val="24"/>
        </w:rPr>
        <w:t>й  учитывает уровень инфляции текущего года и прогнозируемого на 2025 год, планируемую индексацию социальных выплат.</w:t>
      </w:r>
      <w:bookmarkStart w:id="9" w:name="OLE_LINK24"/>
      <w:bookmarkStart w:id="10" w:name="OLE_LINK23"/>
      <w:bookmarkEnd w:id="9"/>
      <w:bookmarkEnd w:id="10"/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Общий объем расходов местного бюджета на 2025 год определен на уровне 12 317 635,42 рублей, со снижением к первоначальной и уточненной реда</w:t>
      </w:r>
      <w:r>
        <w:rPr>
          <w:rFonts w:ascii="Times New Roman" w:hAnsi="Times New Roman" w:cs="Times New Roman"/>
          <w:sz w:val="24"/>
          <w:szCs w:val="24"/>
        </w:rPr>
        <w:t xml:space="preserve">кции бюджета 2024 года на 0,67% и 53,10% соответственно. На плановый период 2026 год – 11 021 359,54 рублей, на 2027 год – 11 469 096,75 рублей без учета условно утверждаемых расходов. 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Расходы местного бюджета по разделам представлены в следующей таблице</w:t>
      </w:r>
    </w:p>
    <w:tbl>
      <w:tblPr>
        <w:tblStyle w:val="af5"/>
        <w:tblW w:w="9636" w:type="dxa"/>
        <w:tblInd w:w="113" w:type="dxa"/>
        <w:tblLayout w:type="fixed"/>
        <w:tblLook w:val="04A0"/>
      </w:tblPr>
      <w:tblGrid>
        <w:gridCol w:w="1642"/>
        <w:gridCol w:w="907"/>
        <w:gridCol w:w="957"/>
        <w:gridCol w:w="967"/>
        <w:gridCol w:w="907"/>
        <w:gridCol w:w="683"/>
        <w:gridCol w:w="958"/>
        <w:gridCol w:w="859"/>
        <w:gridCol w:w="960"/>
        <w:gridCol w:w="796"/>
      </w:tblGrid>
      <w:tr w:rsidR="00AC7624">
        <w:tc>
          <w:tcPr>
            <w:tcW w:w="1641" w:type="dxa"/>
            <w:vMerge w:val="restart"/>
          </w:tcPr>
          <w:p w:rsidR="00AC7624" w:rsidRDefault="00884339">
            <w:pPr>
              <w:pStyle w:val="Default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наименование показателей</w:t>
            </w:r>
          </w:p>
        </w:tc>
        <w:tc>
          <w:tcPr>
            <w:tcW w:w="1864" w:type="dxa"/>
            <w:gridSpan w:val="2"/>
          </w:tcPr>
          <w:p w:rsidR="00AC7624" w:rsidRDefault="00884339">
            <w:pPr>
              <w:pStyle w:val="Default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Утверждено на 2024 год</w:t>
            </w:r>
          </w:p>
        </w:tc>
        <w:tc>
          <w:tcPr>
            <w:tcW w:w="6130" w:type="dxa"/>
            <w:gridSpan w:val="7"/>
          </w:tcPr>
          <w:p w:rsidR="00AC7624" w:rsidRDefault="00884339">
            <w:pPr>
              <w:pStyle w:val="Default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Предусмотрено проектом решения</w:t>
            </w:r>
          </w:p>
        </w:tc>
      </w:tr>
      <w:tr w:rsidR="00AC7624">
        <w:tc>
          <w:tcPr>
            <w:tcW w:w="1641" w:type="dxa"/>
            <w:vMerge/>
            <w:vAlign w:val="center"/>
          </w:tcPr>
          <w:p w:rsidR="00AC7624" w:rsidRDefault="00AC76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07" w:type="dxa"/>
            <w:vMerge w:val="restart"/>
          </w:tcPr>
          <w:p w:rsidR="00AC7624" w:rsidRDefault="00884339">
            <w:pPr>
              <w:pStyle w:val="Default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первоначальная редакция, рублей (решение Совета от 05.12.2023 №57)</w:t>
            </w:r>
          </w:p>
        </w:tc>
        <w:tc>
          <w:tcPr>
            <w:tcW w:w="957" w:type="dxa"/>
            <w:vMerge w:val="restart"/>
          </w:tcPr>
          <w:p w:rsidR="00AC7624" w:rsidRDefault="00884339">
            <w:pPr>
              <w:pStyle w:val="Default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 учетом изменений (ред. от 27.09.2024 №38г) рублей</w:t>
            </w:r>
          </w:p>
          <w:p w:rsidR="00AC7624" w:rsidRDefault="00AC7624">
            <w:pPr>
              <w:pStyle w:val="Default"/>
              <w:jc w:val="center"/>
              <w:rPr>
                <w:sz w:val="12"/>
                <w:szCs w:val="12"/>
              </w:rPr>
            </w:pPr>
          </w:p>
          <w:p w:rsidR="00AC7624" w:rsidRDefault="00AC7624">
            <w:pPr>
              <w:pStyle w:val="Default"/>
              <w:jc w:val="center"/>
              <w:rPr>
                <w:sz w:val="12"/>
                <w:szCs w:val="12"/>
              </w:rPr>
            </w:pPr>
          </w:p>
        </w:tc>
        <w:tc>
          <w:tcPr>
            <w:tcW w:w="2557" w:type="dxa"/>
            <w:gridSpan w:val="3"/>
          </w:tcPr>
          <w:p w:rsidR="00AC7624" w:rsidRDefault="00884339">
            <w:pPr>
              <w:pStyle w:val="Default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на 2025 год</w:t>
            </w:r>
          </w:p>
        </w:tc>
        <w:tc>
          <w:tcPr>
            <w:tcW w:w="1817" w:type="dxa"/>
            <w:gridSpan w:val="2"/>
          </w:tcPr>
          <w:p w:rsidR="00AC7624" w:rsidRDefault="00884339">
            <w:pPr>
              <w:pStyle w:val="Default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на 2026 год</w:t>
            </w:r>
          </w:p>
        </w:tc>
        <w:tc>
          <w:tcPr>
            <w:tcW w:w="1756" w:type="dxa"/>
            <w:gridSpan w:val="2"/>
          </w:tcPr>
          <w:p w:rsidR="00AC7624" w:rsidRDefault="00884339">
            <w:pPr>
              <w:pStyle w:val="Default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на 2027 год</w:t>
            </w:r>
          </w:p>
        </w:tc>
      </w:tr>
      <w:tr w:rsidR="00AC7624">
        <w:trPr>
          <w:trHeight w:val="746"/>
        </w:trPr>
        <w:tc>
          <w:tcPr>
            <w:tcW w:w="1641" w:type="dxa"/>
            <w:vMerge/>
            <w:vAlign w:val="center"/>
          </w:tcPr>
          <w:p w:rsidR="00AC7624" w:rsidRDefault="00AC76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07" w:type="dxa"/>
            <w:vMerge/>
            <w:vAlign w:val="center"/>
          </w:tcPr>
          <w:p w:rsidR="00AC7624" w:rsidRDefault="00AC76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57" w:type="dxa"/>
            <w:vMerge/>
            <w:vAlign w:val="center"/>
          </w:tcPr>
          <w:p w:rsidR="00AC7624" w:rsidRDefault="00AC76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67" w:type="dxa"/>
          </w:tcPr>
          <w:p w:rsidR="00AC7624" w:rsidRDefault="00884339">
            <w:pPr>
              <w:pStyle w:val="Default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рублей</w:t>
            </w:r>
          </w:p>
        </w:tc>
        <w:tc>
          <w:tcPr>
            <w:tcW w:w="907" w:type="dxa"/>
          </w:tcPr>
          <w:p w:rsidR="00AC7624" w:rsidRDefault="00884339">
            <w:pPr>
              <w:pStyle w:val="Default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отношение к 2024 году, % к первоначальной редакции</w:t>
            </w:r>
          </w:p>
        </w:tc>
        <w:tc>
          <w:tcPr>
            <w:tcW w:w="683" w:type="dxa"/>
          </w:tcPr>
          <w:p w:rsidR="00AC7624" w:rsidRDefault="00884339">
            <w:pPr>
              <w:pStyle w:val="Default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отношение к 20234году, %с учетом изменений</w:t>
            </w:r>
          </w:p>
        </w:tc>
        <w:tc>
          <w:tcPr>
            <w:tcW w:w="958" w:type="dxa"/>
          </w:tcPr>
          <w:p w:rsidR="00AC7624" w:rsidRDefault="00884339">
            <w:pPr>
              <w:pStyle w:val="Default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рублей</w:t>
            </w:r>
          </w:p>
        </w:tc>
        <w:tc>
          <w:tcPr>
            <w:tcW w:w="859" w:type="dxa"/>
          </w:tcPr>
          <w:p w:rsidR="00AC7624" w:rsidRDefault="00884339">
            <w:pPr>
              <w:pStyle w:val="Default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отношение к 2025году, %</w:t>
            </w:r>
          </w:p>
        </w:tc>
        <w:tc>
          <w:tcPr>
            <w:tcW w:w="960" w:type="dxa"/>
          </w:tcPr>
          <w:p w:rsidR="00AC7624" w:rsidRDefault="00884339">
            <w:pPr>
              <w:pStyle w:val="Default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рублей</w:t>
            </w:r>
          </w:p>
        </w:tc>
        <w:tc>
          <w:tcPr>
            <w:tcW w:w="796" w:type="dxa"/>
          </w:tcPr>
          <w:p w:rsidR="00AC7624" w:rsidRDefault="00884339">
            <w:pPr>
              <w:pStyle w:val="Default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отношение к 2026году, %</w:t>
            </w:r>
          </w:p>
          <w:p w:rsidR="00AC7624" w:rsidRDefault="00884339">
            <w:pPr>
              <w:pStyle w:val="Default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удельный вес, %</w:t>
            </w:r>
          </w:p>
        </w:tc>
      </w:tr>
      <w:tr w:rsidR="00AC7624">
        <w:trPr>
          <w:trHeight w:val="487"/>
        </w:trPr>
        <w:tc>
          <w:tcPr>
            <w:tcW w:w="1641" w:type="dxa"/>
            <w:vAlign w:val="center"/>
          </w:tcPr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lastRenderedPageBreak/>
              <w:t>01.00 Общегосударственные расходы,</w:t>
            </w:r>
          </w:p>
        </w:tc>
        <w:tc>
          <w:tcPr>
            <w:tcW w:w="90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6 084 172,72</w:t>
            </w:r>
          </w:p>
        </w:tc>
        <w:tc>
          <w:tcPr>
            <w:tcW w:w="957" w:type="dxa"/>
            <w:vAlign w:val="center"/>
          </w:tcPr>
          <w:p w:rsidR="00AC7624" w:rsidRDefault="00884339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6  071 028,22</w:t>
            </w:r>
          </w:p>
        </w:tc>
        <w:tc>
          <w:tcPr>
            <w:tcW w:w="96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5 327 105,55</w:t>
            </w:r>
          </w:p>
        </w:tc>
        <w:tc>
          <w:tcPr>
            <w:tcW w:w="90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87,56</w:t>
            </w:r>
          </w:p>
        </w:tc>
        <w:tc>
          <w:tcPr>
            <w:tcW w:w="683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87,75</w:t>
            </w:r>
          </w:p>
        </w:tc>
        <w:tc>
          <w:tcPr>
            <w:tcW w:w="958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4 699 857,22</w:t>
            </w:r>
          </w:p>
        </w:tc>
        <w:tc>
          <w:tcPr>
            <w:tcW w:w="859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88,23</w:t>
            </w:r>
          </w:p>
        </w:tc>
        <w:tc>
          <w:tcPr>
            <w:tcW w:w="960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4 529 993,43</w:t>
            </w:r>
          </w:p>
        </w:tc>
        <w:tc>
          <w:tcPr>
            <w:tcW w:w="796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96,38</w:t>
            </w:r>
          </w:p>
        </w:tc>
      </w:tr>
      <w:tr w:rsidR="00AC7624">
        <w:trPr>
          <w:trHeight w:val="458"/>
        </w:trPr>
        <w:tc>
          <w:tcPr>
            <w:tcW w:w="1641" w:type="dxa"/>
            <w:tcBorders>
              <w:top w:val="nil"/>
            </w:tcBorders>
            <w:vAlign w:val="center"/>
          </w:tcPr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Calibri" w:hAnsi="Times New Roman"/>
                <w:sz w:val="12"/>
                <w:szCs w:val="12"/>
                <w:lang w:eastAsia="ru-RU"/>
              </w:rPr>
              <w:t>Удельный вес, %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57" w:type="dxa"/>
            <w:tcBorders>
              <w:top w:val="nil"/>
            </w:tcBorders>
            <w:vAlign w:val="center"/>
          </w:tcPr>
          <w:p w:rsidR="00AC7624" w:rsidRDefault="00AC7624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67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43,25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683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58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42,64</w:t>
            </w:r>
          </w:p>
        </w:tc>
        <w:tc>
          <w:tcPr>
            <w:tcW w:w="859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39,50</w:t>
            </w:r>
          </w:p>
        </w:tc>
        <w:tc>
          <w:tcPr>
            <w:tcW w:w="796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</w:tr>
      <w:tr w:rsidR="00AC7624">
        <w:trPr>
          <w:trHeight w:val="450"/>
        </w:trPr>
        <w:tc>
          <w:tcPr>
            <w:tcW w:w="1641" w:type="dxa"/>
          </w:tcPr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02.00 Национальная оборона</w:t>
            </w:r>
          </w:p>
        </w:tc>
        <w:tc>
          <w:tcPr>
            <w:tcW w:w="90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957" w:type="dxa"/>
            <w:vAlign w:val="center"/>
          </w:tcPr>
          <w:p w:rsidR="00AC7624" w:rsidRDefault="00884339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228 228,00</w:t>
            </w:r>
          </w:p>
        </w:tc>
        <w:tc>
          <w:tcPr>
            <w:tcW w:w="96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244 954,00</w:t>
            </w:r>
          </w:p>
        </w:tc>
        <w:tc>
          <w:tcPr>
            <w:tcW w:w="90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683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107,33</w:t>
            </w:r>
          </w:p>
        </w:tc>
        <w:tc>
          <w:tcPr>
            <w:tcW w:w="958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269 376,00</w:t>
            </w:r>
          </w:p>
        </w:tc>
        <w:tc>
          <w:tcPr>
            <w:tcW w:w="859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109,97</w:t>
            </w:r>
          </w:p>
        </w:tc>
        <w:tc>
          <w:tcPr>
            <w:tcW w:w="960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279 514,00</w:t>
            </w:r>
          </w:p>
        </w:tc>
        <w:tc>
          <w:tcPr>
            <w:tcW w:w="796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103,76</w:t>
            </w:r>
          </w:p>
        </w:tc>
      </w:tr>
      <w:tr w:rsidR="00AC7624">
        <w:trPr>
          <w:trHeight w:val="400"/>
        </w:trPr>
        <w:tc>
          <w:tcPr>
            <w:tcW w:w="1641" w:type="dxa"/>
            <w:tcBorders>
              <w:top w:val="nil"/>
            </w:tcBorders>
          </w:tcPr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Calibri" w:hAnsi="Times New Roman"/>
                <w:sz w:val="12"/>
                <w:szCs w:val="12"/>
                <w:lang w:eastAsia="ru-RU"/>
              </w:rPr>
              <w:t>Удельный вес, %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57" w:type="dxa"/>
            <w:tcBorders>
              <w:top w:val="nil"/>
            </w:tcBorders>
            <w:vAlign w:val="center"/>
          </w:tcPr>
          <w:p w:rsidR="00AC7624" w:rsidRDefault="00AC7624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67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1,99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683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58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2,44</w:t>
            </w:r>
          </w:p>
        </w:tc>
        <w:tc>
          <w:tcPr>
            <w:tcW w:w="859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2,44</w:t>
            </w:r>
          </w:p>
        </w:tc>
        <w:tc>
          <w:tcPr>
            <w:tcW w:w="796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</w:tr>
      <w:tr w:rsidR="00AC7624">
        <w:trPr>
          <w:trHeight w:val="621"/>
        </w:trPr>
        <w:tc>
          <w:tcPr>
            <w:tcW w:w="1641" w:type="dxa"/>
          </w:tcPr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03.00</w:t>
            </w:r>
          </w:p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Национальная безопасность и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правоохранительная деятельность</w:t>
            </w:r>
          </w:p>
        </w:tc>
        <w:tc>
          <w:tcPr>
            <w:tcW w:w="90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390 000,00</w:t>
            </w:r>
          </w:p>
        </w:tc>
        <w:tc>
          <w:tcPr>
            <w:tcW w:w="957" w:type="dxa"/>
            <w:vAlign w:val="center"/>
          </w:tcPr>
          <w:p w:rsidR="00AC7624" w:rsidRDefault="00884339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390 000,00</w:t>
            </w:r>
          </w:p>
        </w:tc>
        <w:tc>
          <w:tcPr>
            <w:tcW w:w="96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460 000,00</w:t>
            </w:r>
          </w:p>
        </w:tc>
        <w:tc>
          <w:tcPr>
            <w:tcW w:w="90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117,95</w:t>
            </w:r>
          </w:p>
        </w:tc>
        <w:tc>
          <w:tcPr>
            <w:tcW w:w="683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117,94</w:t>
            </w:r>
          </w:p>
        </w:tc>
        <w:tc>
          <w:tcPr>
            <w:tcW w:w="958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260 000,00</w:t>
            </w:r>
          </w:p>
        </w:tc>
        <w:tc>
          <w:tcPr>
            <w:tcW w:w="859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56,52</w:t>
            </w:r>
          </w:p>
        </w:tc>
        <w:tc>
          <w:tcPr>
            <w:tcW w:w="960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160 000,00</w:t>
            </w:r>
          </w:p>
        </w:tc>
        <w:tc>
          <w:tcPr>
            <w:tcW w:w="796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61,54</w:t>
            </w:r>
          </w:p>
        </w:tc>
      </w:tr>
      <w:tr w:rsidR="00AC7624">
        <w:trPr>
          <w:trHeight w:val="345"/>
        </w:trPr>
        <w:tc>
          <w:tcPr>
            <w:tcW w:w="1641" w:type="dxa"/>
            <w:tcBorders>
              <w:top w:val="nil"/>
            </w:tcBorders>
          </w:tcPr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Calibri" w:hAnsi="Times New Roman"/>
                <w:sz w:val="12"/>
                <w:szCs w:val="12"/>
                <w:lang w:eastAsia="ru-RU"/>
              </w:rPr>
              <w:t>Удельный вес, %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57" w:type="dxa"/>
            <w:tcBorders>
              <w:top w:val="nil"/>
            </w:tcBorders>
            <w:vAlign w:val="center"/>
          </w:tcPr>
          <w:p w:rsidR="00AC7624" w:rsidRDefault="00AC7624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67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3,73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683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58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2,37</w:t>
            </w:r>
          </w:p>
        </w:tc>
        <w:tc>
          <w:tcPr>
            <w:tcW w:w="859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1,40</w:t>
            </w:r>
          </w:p>
        </w:tc>
        <w:tc>
          <w:tcPr>
            <w:tcW w:w="796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</w:tr>
      <w:tr w:rsidR="00AC7624">
        <w:trPr>
          <w:trHeight w:val="449"/>
        </w:trPr>
        <w:tc>
          <w:tcPr>
            <w:tcW w:w="1641" w:type="dxa"/>
          </w:tcPr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04.00 Национальная экономика</w:t>
            </w:r>
          </w:p>
        </w:tc>
        <w:tc>
          <w:tcPr>
            <w:tcW w:w="90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1 913 965,00</w:t>
            </w:r>
          </w:p>
        </w:tc>
        <w:tc>
          <w:tcPr>
            <w:tcW w:w="957" w:type="dxa"/>
            <w:vAlign w:val="center"/>
          </w:tcPr>
          <w:p w:rsidR="00AC7624" w:rsidRDefault="00884339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11 711 304,06</w:t>
            </w:r>
          </w:p>
        </w:tc>
        <w:tc>
          <w:tcPr>
            <w:tcW w:w="96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2 226 941,00</w:t>
            </w:r>
          </w:p>
        </w:tc>
        <w:tc>
          <w:tcPr>
            <w:tcW w:w="90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116,35</w:t>
            </w:r>
          </w:p>
        </w:tc>
        <w:tc>
          <w:tcPr>
            <w:tcW w:w="683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19,02</w:t>
            </w:r>
          </w:p>
        </w:tc>
        <w:tc>
          <w:tcPr>
            <w:tcW w:w="958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2 156 920,00</w:t>
            </w:r>
          </w:p>
        </w:tc>
        <w:tc>
          <w:tcPr>
            <w:tcW w:w="859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96,85</w:t>
            </w:r>
          </w:p>
        </w:tc>
        <w:tc>
          <w:tcPr>
            <w:tcW w:w="960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2 743 541,00</w:t>
            </w:r>
          </w:p>
        </w:tc>
        <w:tc>
          <w:tcPr>
            <w:tcW w:w="796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127,20</w:t>
            </w:r>
          </w:p>
        </w:tc>
      </w:tr>
      <w:tr w:rsidR="00AC7624">
        <w:trPr>
          <w:trHeight w:val="458"/>
        </w:trPr>
        <w:tc>
          <w:tcPr>
            <w:tcW w:w="1641" w:type="dxa"/>
            <w:tcBorders>
              <w:top w:val="nil"/>
            </w:tcBorders>
          </w:tcPr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Calibri" w:hAnsi="Times New Roman"/>
                <w:sz w:val="12"/>
                <w:szCs w:val="12"/>
                <w:lang w:eastAsia="ru-RU"/>
              </w:rPr>
              <w:t>Удельный вес, %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57" w:type="dxa"/>
            <w:tcBorders>
              <w:top w:val="nil"/>
            </w:tcBorders>
            <w:vAlign w:val="center"/>
          </w:tcPr>
          <w:p w:rsidR="00AC7624" w:rsidRDefault="00AC7624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67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18,08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683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58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19,57</w:t>
            </w:r>
          </w:p>
        </w:tc>
        <w:tc>
          <w:tcPr>
            <w:tcW w:w="859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23,91</w:t>
            </w:r>
          </w:p>
        </w:tc>
        <w:tc>
          <w:tcPr>
            <w:tcW w:w="796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</w:tr>
      <w:tr w:rsidR="00AC7624">
        <w:trPr>
          <w:trHeight w:val="450"/>
        </w:trPr>
        <w:tc>
          <w:tcPr>
            <w:tcW w:w="1641" w:type="dxa"/>
          </w:tcPr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05.00 Жилищно-коммунальное хозяйство</w:t>
            </w:r>
          </w:p>
        </w:tc>
        <w:tc>
          <w:tcPr>
            <w:tcW w:w="90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1 729 969,59</w:t>
            </w:r>
          </w:p>
        </w:tc>
        <w:tc>
          <w:tcPr>
            <w:tcW w:w="957" w:type="dxa"/>
            <w:vAlign w:val="center"/>
          </w:tcPr>
          <w:p w:rsidR="00AC7624" w:rsidRDefault="00884339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5  154 682,67</w:t>
            </w:r>
          </w:p>
        </w:tc>
        <w:tc>
          <w:tcPr>
            <w:tcW w:w="96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2 033 354,52</w:t>
            </w:r>
          </w:p>
        </w:tc>
        <w:tc>
          <w:tcPr>
            <w:tcW w:w="90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117,54</w:t>
            </w:r>
          </w:p>
        </w:tc>
        <w:tc>
          <w:tcPr>
            <w:tcW w:w="683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39,45</w:t>
            </w:r>
          </w:p>
        </w:tc>
        <w:tc>
          <w:tcPr>
            <w:tcW w:w="958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1 328 348,00</w:t>
            </w:r>
          </w:p>
        </w:tc>
        <w:tc>
          <w:tcPr>
            <w:tcW w:w="859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65,33</w:t>
            </w:r>
          </w:p>
        </w:tc>
        <w:tc>
          <w:tcPr>
            <w:tcW w:w="960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1 401 310,00</w:t>
            </w:r>
          </w:p>
        </w:tc>
        <w:tc>
          <w:tcPr>
            <w:tcW w:w="796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105,49</w:t>
            </w:r>
          </w:p>
        </w:tc>
      </w:tr>
      <w:tr w:rsidR="00AC7624">
        <w:trPr>
          <w:trHeight w:val="342"/>
        </w:trPr>
        <w:tc>
          <w:tcPr>
            <w:tcW w:w="1641" w:type="dxa"/>
            <w:tcBorders>
              <w:top w:val="nil"/>
            </w:tcBorders>
          </w:tcPr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Calibri" w:hAnsi="Times New Roman"/>
                <w:sz w:val="12"/>
                <w:szCs w:val="12"/>
                <w:lang w:eastAsia="ru-RU"/>
              </w:rPr>
              <w:t>Удельный вес, %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57" w:type="dxa"/>
            <w:tcBorders>
              <w:top w:val="nil"/>
            </w:tcBorders>
            <w:vAlign w:val="center"/>
          </w:tcPr>
          <w:p w:rsidR="00AC7624" w:rsidRDefault="00AC7624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67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16,51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683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58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12,05</w:t>
            </w:r>
          </w:p>
        </w:tc>
        <w:tc>
          <w:tcPr>
            <w:tcW w:w="859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12,22</w:t>
            </w:r>
          </w:p>
        </w:tc>
        <w:tc>
          <w:tcPr>
            <w:tcW w:w="796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</w:tr>
      <w:tr w:rsidR="00AC7624">
        <w:trPr>
          <w:trHeight w:val="341"/>
        </w:trPr>
        <w:tc>
          <w:tcPr>
            <w:tcW w:w="1641" w:type="dxa"/>
          </w:tcPr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07.00 Образование</w:t>
            </w:r>
          </w:p>
        </w:tc>
        <w:tc>
          <w:tcPr>
            <w:tcW w:w="90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90 000,00</w:t>
            </w:r>
          </w:p>
        </w:tc>
        <w:tc>
          <w:tcPr>
            <w:tcW w:w="957" w:type="dxa"/>
            <w:vAlign w:val="center"/>
          </w:tcPr>
          <w:p w:rsidR="00AC7624" w:rsidRDefault="00884339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90 000,00</w:t>
            </w:r>
          </w:p>
        </w:tc>
        <w:tc>
          <w:tcPr>
            <w:tcW w:w="96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90 000,00</w:t>
            </w:r>
          </w:p>
        </w:tc>
        <w:tc>
          <w:tcPr>
            <w:tcW w:w="90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100,00</w:t>
            </w:r>
          </w:p>
        </w:tc>
        <w:tc>
          <w:tcPr>
            <w:tcW w:w="683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100,00</w:t>
            </w:r>
          </w:p>
        </w:tc>
        <w:tc>
          <w:tcPr>
            <w:tcW w:w="958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90 000,00</w:t>
            </w:r>
          </w:p>
        </w:tc>
        <w:tc>
          <w:tcPr>
            <w:tcW w:w="859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100,00</w:t>
            </w:r>
          </w:p>
        </w:tc>
        <w:tc>
          <w:tcPr>
            <w:tcW w:w="960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90 000,00</w:t>
            </w:r>
          </w:p>
        </w:tc>
        <w:tc>
          <w:tcPr>
            <w:tcW w:w="796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100,00</w:t>
            </w:r>
          </w:p>
        </w:tc>
      </w:tr>
      <w:tr w:rsidR="00AC7624">
        <w:trPr>
          <w:trHeight w:val="342"/>
        </w:trPr>
        <w:tc>
          <w:tcPr>
            <w:tcW w:w="1641" w:type="dxa"/>
            <w:tcBorders>
              <w:top w:val="nil"/>
            </w:tcBorders>
          </w:tcPr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Calibri" w:hAnsi="Times New Roman"/>
                <w:sz w:val="12"/>
                <w:szCs w:val="12"/>
                <w:lang w:eastAsia="ru-RU"/>
              </w:rPr>
              <w:t>Удельный вес, %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57" w:type="dxa"/>
            <w:tcBorders>
              <w:top w:val="nil"/>
            </w:tcBorders>
            <w:vAlign w:val="center"/>
          </w:tcPr>
          <w:p w:rsidR="00AC7624" w:rsidRDefault="00AC7624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67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0,73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683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58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0,82</w:t>
            </w:r>
          </w:p>
        </w:tc>
        <w:tc>
          <w:tcPr>
            <w:tcW w:w="859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0,78</w:t>
            </w:r>
          </w:p>
        </w:tc>
        <w:tc>
          <w:tcPr>
            <w:tcW w:w="796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</w:tr>
      <w:tr w:rsidR="00AC7624">
        <w:trPr>
          <w:trHeight w:val="391"/>
        </w:trPr>
        <w:tc>
          <w:tcPr>
            <w:tcW w:w="1641" w:type="dxa"/>
          </w:tcPr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08.00 Культура, кинематография</w:t>
            </w:r>
          </w:p>
        </w:tc>
        <w:tc>
          <w:tcPr>
            <w:tcW w:w="90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1 632 330,00</w:t>
            </w:r>
          </w:p>
        </w:tc>
        <w:tc>
          <w:tcPr>
            <w:tcW w:w="957" w:type="dxa"/>
            <w:vAlign w:val="center"/>
          </w:tcPr>
          <w:p w:rsidR="00AC7624" w:rsidRDefault="00884339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1 984 005,31</w:t>
            </w:r>
          </w:p>
        </w:tc>
        <w:tc>
          <w:tcPr>
            <w:tcW w:w="96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1 582 402,03</w:t>
            </w:r>
          </w:p>
        </w:tc>
        <w:tc>
          <w:tcPr>
            <w:tcW w:w="90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96,94</w:t>
            </w:r>
          </w:p>
        </w:tc>
        <w:tc>
          <w:tcPr>
            <w:tcW w:w="683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79,76</w:t>
            </w:r>
          </w:p>
        </w:tc>
        <w:tc>
          <w:tcPr>
            <w:tcW w:w="958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1 628 780,00</w:t>
            </w:r>
          </w:p>
        </w:tc>
        <w:tc>
          <w:tcPr>
            <w:tcW w:w="859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102,93</w:t>
            </w:r>
          </w:p>
        </w:tc>
        <w:tc>
          <w:tcPr>
            <w:tcW w:w="960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1 676 660,00</w:t>
            </w:r>
          </w:p>
        </w:tc>
        <w:tc>
          <w:tcPr>
            <w:tcW w:w="796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102,94</w:t>
            </w:r>
          </w:p>
        </w:tc>
      </w:tr>
      <w:tr w:rsidR="00AC7624">
        <w:trPr>
          <w:trHeight w:val="342"/>
        </w:trPr>
        <w:tc>
          <w:tcPr>
            <w:tcW w:w="1641" w:type="dxa"/>
            <w:tcBorders>
              <w:top w:val="nil"/>
            </w:tcBorders>
          </w:tcPr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Calibri" w:hAnsi="Times New Roman"/>
                <w:sz w:val="12"/>
                <w:szCs w:val="12"/>
                <w:lang w:eastAsia="ru-RU"/>
              </w:rPr>
              <w:t>Удельный вес, %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57" w:type="dxa"/>
            <w:tcBorders>
              <w:top w:val="nil"/>
            </w:tcBorders>
            <w:vAlign w:val="center"/>
          </w:tcPr>
          <w:p w:rsidR="00AC7624" w:rsidRDefault="00AC7624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67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12,85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683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58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14,78</w:t>
            </w:r>
          </w:p>
        </w:tc>
        <w:tc>
          <w:tcPr>
            <w:tcW w:w="859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14,62</w:t>
            </w:r>
          </w:p>
        </w:tc>
        <w:tc>
          <w:tcPr>
            <w:tcW w:w="796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</w:tr>
      <w:tr w:rsidR="00AC7624">
        <w:trPr>
          <w:trHeight w:val="458"/>
        </w:trPr>
        <w:tc>
          <w:tcPr>
            <w:tcW w:w="1641" w:type="dxa"/>
          </w:tcPr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10.00 Социальная политика</w:t>
            </w:r>
          </w:p>
        </w:tc>
        <w:tc>
          <w:tcPr>
            <w:tcW w:w="90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284 955,48</w:t>
            </w:r>
          </w:p>
        </w:tc>
        <w:tc>
          <w:tcPr>
            <w:tcW w:w="957" w:type="dxa"/>
            <w:vAlign w:val="center"/>
          </w:tcPr>
          <w:p w:rsidR="00AC7624" w:rsidRDefault="00884339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292 855,68</w:t>
            </w:r>
          </w:p>
        </w:tc>
        <w:tc>
          <w:tcPr>
            <w:tcW w:w="96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331 078,32</w:t>
            </w:r>
          </w:p>
        </w:tc>
        <w:tc>
          <w:tcPr>
            <w:tcW w:w="90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116,19</w:t>
            </w:r>
          </w:p>
        </w:tc>
        <w:tc>
          <w:tcPr>
            <w:tcW w:w="683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113,05</w:t>
            </w:r>
          </w:p>
        </w:tc>
        <w:tc>
          <w:tcPr>
            <w:tcW w:w="958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331 078,32</w:t>
            </w:r>
          </w:p>
        </w:tc>
        <w:tc>
          <w:tcPr>
            <w:tcW w:w="859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100,00</w:t>
            </w:r>
          </w:p>
        </w:tc>
        <w:tc>
          <w:tcPr>
            <w:tcW w:w="960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331 078,32</w:t>
            </w:r>
          </w:p>
        </w:tc>
        <w:tc>
          <w:tcPr>
            <w:tcW w:w="796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100,00</w:t>
            </w:r>
          </w:p>
        </w:tc>
      </w:tr>
      <w:tr w:rsidR="00AC7624">
        <w:trPr>
          <w:trHeight w:val="391"/>
        </w:trPr>
        <w:tc>
          <w:tcPr>
            <w:tcW w:w="1641" w:type="dxa"/>
            <w:tcBorders>
              <w:top w:val="nil"/>
            </w:tcBorders>
          </w:tcPr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Calibri" w:hAnsi="Times New Roman"/>
                <w:sz w:val="12"/>
                <w:szCs w:val="12"/>
                <w:lang w:eastAsia="ru-RU"/>
              </w:rPr>
              <w:t>Удельный вес, %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57" w:type="dxa"/>
            <w:tcBorders>
              <w:top w:val="nil"/>
            </w:tcBorders>
            <w:vAlign w:val="center"/>
          </w:tcPr>
          <w:p w:rsidR="00AC7624" w:rsidRDefault="00AC7624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67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2,69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683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58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3,00</w:t>
            </w:r>
          </w:p>
        </w:tc>
        <w:tc>
          <w:tcPr>
            <w:tcW w:w="859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2,89</w:t>
            </w:r>
          </w:p>
        </w:tc>
        <w:tc>
          <w:tcPr>
            <w:tcW w:w="796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</w:tr>
      <w:tr w:rsidR="00AC7624">
        <w:trPr>
          <w:trHeight w:val="400"/>
        </w:trPr>
        <w:tc>
          <w:tcPr>
            <w:tcW w:w="1641" w:type="dxa"/>
          </w:tcPr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11.00 Физическая культура и спорт</w:t>
            </w:r>
          </w:p>
        </w:tc>
        <w:tc>
          <w:tcPr>
            <w:tcW w:w="90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275 000,00</w:t>
            </w:r>
          </w:p>
        </w:tc>
        <w:tc>
          <w:tcPr>
            <w:tcW w:w="957" w:type="dxa"/>
            <w:vAlign w:val="center"/>
          </w:tcPr>
          <w:p w:rsidR="00AC7624" w:rsidRDefault="00884339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343 576,16</w:t>
            </w:r>
          </w:p>
        </w:tc>
        <w:tc>
          <w:tcPr>
            <w:tcW w:w="96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21 800,00</w:t>
            </w:r>
          </w:p>
        </w:tc>
        <w:tc>
          <w:tcPr>
            <w:tcW w:w="90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7,92</w:t>
            </w:r>
          </w:p>
        </w:tc>
        <w:tc>
          <w:tcPr>
            <w:tcW w:w="683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6,35</w:t>
            </w:r>
          </w:p>
        </w:tc>
        <w:tc>
          <w:tcPr>
            <w:tcW w:w="958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257 000,00</w:t>
            </w:r>
          </w:p>
        </w:tc>
        <w:tc>
          <w:tcPr>
            <w:tcW w:w="859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1178,89</w:t>
            </w:r>
          </w:p>
        </w:tc>
        <w:tc>
          <w:tcPr>
            <w:tcW w:w="960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257 000,00</w:t>
            </w:r>
          </w:p>
        </w:tc>
        <w:tc>
          <w:tcPr>
            <w:tcW w:w="796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100,00</w:t>
            </w:r>
          </w:p>
        </w:tc>
      </w:tr>
      <w:tr w:rsidR="00AC7624">
        <w:trPr>
          <w:trHeight w:val="341"/>
        </w:trPr>
        <w:tc>
          <w:tcPr>
            <w:tcW w:w="1641" w:type="dxa"/>
            <w:tcBorders>
              <w:top w:val="nil"/>
            </w:tcBorders>
          </w:tcPr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Calibri" w:hAnsi="Times New Roman"/>
                <w:sz w:val="12"/>
                <w:szCs w:val="12"/>
                <w:lang w:eastAsia="ru-RU"/>
              </w:rPr>
              <w:t>Удельный вес, %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57" w:type="dxa"/>
            <w:tcBorders>
              <w:top w:val="nil"/>
            </w:tcBorders>
            <w:vAlign w:val="center"/>
          </w:tcPr>
          <w:p w:rsidR="00AC7624" w:rsidRDefault="00AC7624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67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0,18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683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58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2,33</w:t>
            </w:r>
          </w:p>
        </w:tc>
        <w:tc>
          <w:tcPr>
            <w:tcW w:w="859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2,24</w:t>
            </w:r>
          </w:p>
        </w:tc>
        <w:tc>
          <w:tcPr>
            <w:tcW w:w="796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</w:tr>
      <w:tr w:rsidR="00AC7624">
        <w:trPr>
          <w:trHeight w:val="621"/>
        </w:trPr>
        <w:tc>
          <w:tcPr>
            <w:tcW w:w="1641" w:type="dxa"/>
          </w:tcPr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13.00</w:t>
            </w:r>
          </w:p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07" w:type="dxa"/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57" w:type="dxa"/>
            <w:vAlign w:val="center"/>
          </w:tcPr>
          <w:p w:rsidR="00AC7624" w:rsidRDefault="00884339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160,66</w:t>
            </w:r>
          </w:p>
        </w:tc>
        <w:tc>
          <w:tcPr>
            <w:tcW w:w="96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90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683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958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859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960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796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</w:tr>
      <w:tr w:rsidR="00AC7624">
        <w:trPr>
          <w:trHeight w:val="621"/>
        </w:trPr>
        <w:tc>
          <w:tcPr>
            <w:tcW w:w="1641" w:type="dxa"/>
          </w:tcPr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0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12 400 392,79</w:t>
            </w:r>
          </w:p>
        </w:tc>
        <w:tc>
          <w:tcPr>
            <w:tcW w:w="957" w:type="dxa"/>
            <w:vAlign w:val="center"/>
          </w:tcPr>
          <w:p w:rsidR="00AC7624" w:rsidRDefault="00884339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26 265 840,76</w:t>
            </w:r>
          </w:p>
        </w:tc>
        <w:tc>
          <w:tcPr>
            <w:tcW w:w="96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12 317 635,42</w:t>
            </w:r>
          </w:p>
        </w:tc>
        <w:tc>
          <w:tcPr>
            <w:tcW w:w="907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99,33</w:t>
            </w:r>
          </w:p>
        </w:tc>
        <w:tc>
          <w:tcPr>
            <w:tcW w:w="683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46,90</w:t>
            </w:r>
          </w:p>
        </w:tc>
        <w:tc>
          <w:tcPr>
            <w:tcW w:w="958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11 021 359,54</w:t>
            </w:r>
          </w:p>
        </w:tc>
        <w:tc>
          <w:tcPr>
            <w:tcW w:w="859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89,47</w:t>
            </w:r>
          </w:p>
        </w:tc>
        <w:tc>
          <w:tcPr>
            <w:tcW w:w="960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11 469 096,75</w:t>
            </w:r>
          </w:p>
        </w:tc>
        <w:tc>
          <w:tcPr>
            <w:tcW w:w="796" w:type="dxa"/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104,06</w:t>
            </w:r>
          </w:p>
        </w:tc>
      </w:tr>
      <w:tr w:rsidR="00AC7624">
        <w:trPr>
          <w:trHeight w:val="399"/>
        </w:trPr>
        <w:tc>
          <w:tcPr>
            <w:tcW w:w="1641" w:type="dxa"/>
            <w:tcBorders>
              <w:top w:val="nil"/>
            </w:tcBorders>
          </w:tcPr>
          <w:p w:rsidR="00AC7624" w:rsidRDefault="00884339">
            <w:pPr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Calibri" w:hAnsi="Times New Roman"/>
                <w:sz w:val="12"/>
                <w:szCs w:val="12"/>
                <w:lang w:eastAsia="ru-RU"/>
              </w:rPr>
              <w:t>Удельный вес, %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57" w:type="dxa"/>
            <w:tcBorders>
              <w:top w:val="nil"/>
            </w:tcBorders>
            <w:vAlign w:val="center"/>
          </w:tcPr>
          <w:p w:rsidR="00AC7624" w:rsidRDefault="00AC7624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67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100,00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683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58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100,00</w:t>
            </w:r>
          </w:p>
        </w:tc>
        <w:tc>
          <w:tcPr>
            <w:tcW w:w="859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AC7624" w:rsidRDefault="00884339">
            <w:pPr>
              <w:pStyle w:val="Defaul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100,00</w:t>
            </w:r>
          </w:p>
        </w:tc>
        <w:tc>
          <w:tcPr>
            <w:tcW w:w="796" w:type="dxa"/>
            <w:tcBorders>
              <w:top w:val="nil"/>
            </w:tcBorders>
            <w:vAlign w:val="center"/>
          </w:tcPr>
          <w:p w:rsidR="00AC7624" w:rsidRDefault="00AC7624">
            <w:pPr>
              <w:pStyle w:val="Default"/>
              <w:rPr>
                <w:sz w:val="12"/>
                <w:szCs w:val="12"/>
              </w:rPr>
            </w:pPr>
          </w:p>
        </w:tc>
      </w:tr>
    </w:tbl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Структура расходов не изменилась, как и в текущем 2024 году наибольший удельный (более 39%) в общей структуре расходов очередном финансовом году и плановом периоде занимают Общегосударственные расходы. 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Расходы бюджета на социально-культурную сферу (образование, культура и кинематография, социальная политика, физическая культура и спорт) составляют в 2025 году  16,44% от объема  расходной части бюджета поселения. В плановом 2026 и 2027 годах 20,93% и 20,5</w:t>
      </w:r>
      <w:r>
        <w:rPr>
          <w:rFonts w:ascii="Times New Roman" w:hAnsi="Times New Roman" w:cs="Times New Roman"/>
          <w:sz w:val="24"/>
          <w:szCs w:val="24"/>
        </w:rPr>
        <w:t>3% соответственно.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Бюджетные ассигнования по разделу </w:t>
      </w:r>
      <w:r>
        <w:rPr>
          <w:rFonts w:ascii="Times New Roman" w:hAnsi="Times New Roman" w:cs="Times New Roman"/>
          <w:b/>
          <w:sz w:val="24"/>
          <w:szCs w:val="24"/>
        </w:rPr>
        <w:t xml:space="preserve">«Общегосударственные расходы» </w:t>
      </w:r>
      <w:r>
        <w:rPr>
          <w:rFonts w:ascii="Times New Roman" w:hAnsi="Times New Roman" w:cs="Times New Roman"/>
          <w:sz w:val="24"/>
          <w:szCs w:val="24"/>
        </w:rPr>
        <w:t xml:space="preserve">на 2025 год предусмотрены в объеме 5 327 105,55 рублей, со снижением к первоначальной и уточненной редакции бюджета 2024 года на 12,44% и 12,25% соответственно, в плановом </w:t>
      </w:r>
      <w:r>
        <w:rPr>
          <w:rFonts w:ascii="Times New Roman" w:hAnsi="Times New Roman" w:cs="Times New Roman"/>
          <w:sz w:val="24"/>
          <w:szCs w:val="24"/>
        </w:rPr>
        <w:t>периоде на 2026 год запланировано 4 699 857,22  рублей со снижением к уровню 2025 года на 11,77%, в 2027 году в сумме 4 529 993,43 рублей со снижением к уровню 2026 года на 3,62%. Средства по данному разделу предусмотрены на осуществление полномочий высшег</w:t>
      </w:r>
      <w:r>
        <w:rPr>
          <w:rFonts w:ascii="Times New Roman" w:hAnsi="Times New Roman" w:cs="Times New Roman"/>
          <w:sz w:val="24"/>
          <w:szCs w:val="24"/>
        </w:rPr>
        <w:t>о должностного лица муниципального образования на 2025 год в сумме 1 601 977,74 рублей, в плановом периоде 2026 и 2027 годов в сумме 1 185 043,29 рублей ежегодно; на функционирование администрации поселения (оплату труда работникам администрации, оплату на</w:t>
      </w:r>
      <w:r>
        <w:rPr>
          <w:rFonts w:ascii="Times New Roman" w:hAnsi="Times New Roman" w:cs="Times New Roman"/>
          <w:sz w:val="24"/>
          <w:szCs w:val="24"/>
        </w:rPr>
        <w:t xml:space="preserve">логов и иных платежей) в 2025 году в сумме 2 443 405,34 рублей, в плановом периоде в 2026 году в сумме 2 018 257,41 рублей со </w:t>
      </w:r>
      <w:r>
        <w:rPr>
          <w:rFonts w:ascii="Times New Roman" w:hAnsi="Times New Roman" w:cs="Times New Roman"/>
          <w:sz w:val="24"/>
          <w:szCs w:val="24"/>
        </w:rPr>
        <w:lastRenderedPageBreak/>
        <w:t>снижением к уровню 2025 года на 17,40%, в 2027 году 1 986 494,62 рублей, что ниже уровня 2026 года на 1,58% .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целях финансового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обеспечения непредвиденных расходов по подразделу "Резервные фонды" предусматривается формирование резервного фонда Администрации Еремеевского сельского поселения Полтавского муниципального района в объеме 10 000,00 рублей на 2025 год и каждый плановый пер</w:t>
      </w:r>
      <w:r>
        <w:rPr>
          <w:rFonts w:ascii="Times New Roman" w:hAnsi="Times New Roman" w:cs="Times New Roman"/>
          <w:sz w:val="24"/>
          <w:szCs w:val="24"/>
        </w:rPr>
        <w:t>иод ежегодно, отношение размера резервного фонда к общему объему расходов составляет 0,08% ежегодно.</w:t>
      </w:r>
    </w:p>
    <w:p w:rsidR="00AC7624" w:rsidRDefault="00884339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По подразделу «Другие общегосударственные вопросы» запланированы средства в рамках п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одпрограммы "Формирование и развитие муниципальной собственности Ерем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вского сельского поселения" на формирование и развитие муниципальной собственности в сумме 11 000,00 рублей в 2025 году и на каждый год планового периода в сумме 40 000,00 рублей ежегодно, на разграничение муниципальной собственности в сумме 30 000,00 рубл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ей ежегодно, на содержание муниципального имущества в сумме 10 000,00 рублей в 2025 году и в плановом периоде по 30 000,00 рублей ежегодно, содержания м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ниципального имущества на 2025 год в сумме 2 000,00 рублей и на каждый год планового периода в сумме 11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0 000,00 рублей, для обеспечения выполнения функций казенных у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реждений в объеме 1 258 722,47 рублей в 2025 году, в плановом периоде в объеме 1 336 556,52 рублей на 2026 год и в сумме 1 198 455,52 рублей на 2027 год.</w:t>
      </w:r>
    </w:p>
    <w:p w:rsidR="00AC7624" w:rsidRDefault="00884339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 xml:space="preserve">Бюджетные ассигнования по разделу </w:t>
      </w:r>
      <w:r>
        <w:rPr>
          <w:rFonts w:ascii="Times New Roman" w:eastAsia="Noto Sans CJK SC" w:hAnsi="Times New Roman" w:cs="Times New Roman"/>
          <w:b/>
          <w:color w:val="000000"/>
          <w:sz w:val="24"/>
          <w:szCs w:val="24"/>
        </w:rPr>
        <w:t>«Наци</w:t>
      </w:r>
      <w:r>
        <w:rPr>
          <w:rFonts w:ascii="Times New Roman" w:eastAsia="Noto Sans CJK SC" w:hAnsi="Times New Roman" w:cs="Times New Roman"/>
          <w:b/>
          <w:color w:val="000000"/>
          <w:sz w:val="24"/>
          <w:szCs w:val="24"/>
        </w:rPr>
        <w:t xml:space="preserve">ональная оборона» 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в общей структуре расходов занимает 1,99% в 2025году. В 2025 году предусмотрены расходы по данному разделу в сумме 244 954,00 рублей с ростом к уточненной редакции бюджета 2024 года на 7,33, в плановом периоде запланировано на 2026 году с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умма 269 376,00 рублей (доля в общей структуре расходов 2,44%) с ростом к уровню 2025 года на 9,97%, на 2027 год в сумме 279 514 рублей (доля в общей структуре расходов 2,44%) также с ростом к 2026 г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ду на 3,76%. Расходы бюджета предусмотрены в рамках осущ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ествления первичного вои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ского учета органами местного самоуправления поселений.</w:t>
      </w:r>
    </w:p>
    <w:p w:rsidR="00AC7624" w:rsidRDefault="00884339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 xml:space="preserve">Бюджетные ассигнования по разделу </w:t>
      </w:r>
      <w:r>
        <w:rPr>
          <w:rFonts w:ascii="Times New Roman" w:eastAsia="Noto Sans CJK SC" w:hAnsi="Times New Roman" w:cs="Times New Roman"/>
          <w:b/>
          <w:color w:val="000000"/>
          <w:sz w:val="24"/>
          <w:szCs w:val="24"/>
        </w:rPr>
        <w:t>«Национальная безопасность и правоохр</w:t>
      </w:r>
      <w:r>
        <w:rPr>
          <w:rFonts w:ascii="Times New Roman" w:eastAsia="Noto Sans CJK SC" w:hAnsi="Times New Roman" w:cs="Times New Roman"/>
          <w:b/>
          <w:color w:val="000000"/>
          <w:sz w:val="24"/>
          <w:szCs w:val="24"/>
        </w:rPr>
        <w:t>а</w:t>
      </w:r>
      <w:r>
        <w:rPr>
          <w:rFonts w:ascii="Times New Roman" w:eastAsia="Noto Sans CJK SC" w:hAnsi="Times New Roman" w:cs="Times New Roman"/>
          <w:b/>
          <w:color w:val="000000"/>
          <w:sz w:val="24"/>
          <w:szCs w:val="24"/>
        </w:rPr>
        <w:t xml:space="preserve">нительная деятельность» 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в общей структуре расходов занимает 3,73% в 2025году. В 2025 году предусмотрены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 xml:space="preserve"> расходы по данному разделу в сумме 460 000,00 рублей с  ро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том к первоначальной и уточненной редакции бюджета 2024 года на 17,94% ежегодно, в плановом периоде запланировано в 2026 году 260 000,00 рублей (доля в общей структуре расходов 2,37%) со снижением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 xml:space="preserve"> к уровню 2025 года на 43,48%,  в 2027 году в сумме 160 000,00 рублей (доля в общей структуре расходов 1,40%) также снижение к 2026 году на 38,46%. Расходы бюджета предусмотрены на мероприятия по ликвидации чрезвыча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ных ситуаций.</w:t>
      </w:r>
    </w:p>
    <w:p w:rsidR="00AC7624" w:rsidRDefault="00884339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 xml:space="preserve">Бюджетные ассигнования по 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 xml:space="preserve">разделу </w:t>
      </w:r>
      <w:r>
        <w:rPr>
          <w:rFonts w:ascii="Times New Roman" w:eastAsia="Noto Sans CJK SC" w:hAnsi="Times New Roman" w:cs="Times New Roman"/>
          <w:b/>
          <w:color w:val="000000"/>
          <w:sz w:val="24"/>
          <w:szCs w:val="24"/>
        </w:rPr>
        <w:t xml:space="preserve">«Национальная экономика» 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на 2025 год предусмотрены в сумме 2 226 941,00 рублей (доля в общей структуре расходов 18,08%) с ростом к уровню 2024 года  в первоначальной редакции бюджета на 16,35% и со снижен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ем к уточненной редакции  на 80,98%, в план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овом периоде 2026 и 2027 годов запланир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 xml:space="preserve">вано 2 156 920,00 рублей (доля в общей структуре расходов 19,57%) со снижением к уровню  предыдущего года на 3,15% и 2 743 541 рублей (доля в общей структуре расходов 23,91%) с ростом к уровню 2026 года на 27,20%. </w:t>
      </w:r>
    </w:p>
    <w:p w:rsidR="00AC7624" w:rsidRDefault="00884339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о подразделу «Общеэкономические вопросы» предусмотрены средства в рамках подпрограммы "Содействие занятости населения Еремеевского сельского поселения" на участие в организации и финансировании временного трудоустройства несовершенноле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них граждан в возрас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 xml:space="preserve">те от 14 до 18 лет за счет средств местного бюджета Еремеевского сельского поселения в сумме 39 060,00 рублей ежегодно. </w:t>
      </w:r>
    </w:p>
    <w:p w:rsidR="00AC7624" w:rsidRDefault="00884339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По подразделу «Дорожное хозяйство (дорожные фонды)» в рамках подпрограммы "Развитие жилищно- коммунального хозяйства и дорожного хозяйс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тва Еремеевского сельского поселения" на реализацию мероприятий по строительству, ремонту и содерж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нию автомобильных дорог и инжинерных сооружений на них в границах Еремеевского сельского поселения в сумме 2 182 881,00 рублей в 2025 году, в плановом период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е в су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lastRenderedPageBreak/>
        <w:t xml:space="preserve">ме 2 112 860,00 рублей и 2 699 481,00 рублей соответственно. </w:t>
      </w:r>
      <w:r>
        <w:rPr>
          <w:rFonts w:ascii="Times New Roman" w:hAnsi="Times New Roman" w:cs="Times New Roman"/>
          <w:sz w:val="24"/>
          <w:szCs w:val="24"/>
        </w:rPr>
        <w:t>Объем бюджетных ассигн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ваний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дорожного фонда </w:t>
      </w:r>
      <w:r>
        <w:rPr>
          <w:rFonts w:ascii="Times New Roman" w:hAnsi="Times New Roman" w:cs="Times New Roman"/>
          <w:sz w:val="24"/>
          <w:szCs w:val="24"/>
        </w:rPr>
        <w:t>на трехлетний период сформирован с учетом требований п.5 ст.179.4. БК РФ.</w:t>
      </w:r>
    </w:p>
    <w:p w:rsidR="00AC7624" w:rsidRDefault="00884339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По подразделу «Другие вопросы в области национальной экономики» преду</w:t>
      </w:r>
      <w:r>
        <w:rPr>
          <w:rFonts w:ascii="Times New Roman" w:hAnsi="Times New Roman" w:cs="Times New Roman"/>
          <w:sz w:val="24"/>
          <w:szCs w:val="24"/>
        </w:rPr>
        <w:t>смо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рены средства по 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подпрограмме "Формирование и развитие муниципальной собственн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сти Еремеевского сельского поселения" на формирование и развитие муниципальной со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ственности  в сумме 5 00,00 рублей ежегодно.</w:t>
      </w:r>
    </w:p>
    <w:p w:rsidR="00AC7624" w:rsidRDefault="00884339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 xml:space="preserve">Бюджетные ассигнования по разделу </w:t>
      </w:r>
      <w:r>
        <w:rPr>
          <w:rFonts w:ascii="Times New Roman" w:eastAsia="Noto Sans CJK SC" w:hAnsi="Times New Roman" w:cs="Times New Roman"/>
          <w:b/>
          <w:color w:val="000000"/>
          <w:sz w:val="24"/>
          <w:szCs w:val="24"/>
        </w:rPr>
        <w:t>«Жилищно-ком</w:t>
      </w:r>
      <w:r>
        <w:rPr>
          <w:rFonts w:ascii="Times New Roman" w:eastAsia="Noto Sans CJK SC" w:hAnsi="Times New Roman" w:cs="Times New Roman"/>
          <w:b/>
          <w:color w:val="000000"/>
          <w:sz w:val="24"/>
          <w:szCs w:val="24"/>
        </w:rPr>
        <w:t>мунальное хозяйство»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 xml:space="preserve"> пр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дусмотрены в сумме 2 033 354,52 рублей на 2025 год и занимают 16,51% в общей стру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туре расходов. Средства предусмотрены с ростом к уровню 2024 года  первоначальной редакции на 17,54% и снижением к уточненной редакции на 60,55%. Расх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оды в плановом периоде 2026 года предусмотрены в объеме 1 328 348,00 рублей (занимают долю 12,05% в общей структуре расходов) со снижением к уровню 2025 года на 34,67% и в 2027 году в сумме 1 401 310,00 рублей ( доля 12,22% в общей структуре расходов) с ро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стом к уровню 2026 года на 5,49%. По подразделу «Благоустройство» предусмотрены средства в рамках подпрограммы "Развитие жилищно- коммунального хозяйства и дорожного хозяйства Еремеевского сельского поселения" в сумме 2 023 354,52 рублей в 2025 году, 1 318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 348,00 рублей в 2026 году и в 2027 году в сумме 1 391 310,00 рублей на благоустройство, озел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нение населенных пунктов Еремеевского сельского поселения, в том числе  на меропри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тия по организации уличного освещения, мероприятия по организации озеленения, м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приятия по организации и содержанию мест захоронения, прочие работы по благоустро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ству, мероприятия по борьбе с наркосодержащими растениями.</w:t>
      </w:r>
    </w:p>
    <w:p w:rsidR="00AC7624" w:rsidRDefault="00884339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В рамках подпрограммы «Энергосбережение и повышение энергетической эффе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тивности потребления ресурсов Администра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ции Еремеевского сельского поселения По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тавского муниципального района Омской области» на мероприятия по повышению э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фективности системы электроснабжения запланировы расходы  в сумме 10 000,00 рублей ежегодно.</w:t>
      </w:r>
    </w:p>
    <w:p w:rsidR="00AC7624" w:rsidRDefault="00884339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 xml:space="preserve">Бюджетные ассигнования по разделу </w:t>
      </w:r>
      <w:r>
        <w:rPr>
          <w:rFonts w:ascii="Times New Roman" w:eastAsia="Noto Sans CJK SC" w:hAnsi="Times New Roman" w:cs="Times New Roman"/>
          <w:b/>
          <w:color w:val="000000"/>
          <w:sz w:val="24"/>
          <w:szCs w:val="24"/>
        </w:rPr>
        <w:t>«Образование</w:t>
      </w:r>
      <w:r>
        <w:rPr>
          <w:rFonts w:ascii="Times New Roman" w:eastAsia="Noto Sans CJK SC" w:hAnsi="Times New Roman" w:cs="Times New Roman"/>
          <w:b/>
          <w:color w:val="000000"/>
          <w:sz w:val="24"/>
          <w:szCs w:val="24"/>
        </w:rPr>
        <w:t>»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 xml:space="preserve"> предусмотрены в 2025 году в сумме 90 000,00 рублей на  уровне 2024 года (доля в общей структуре расходов 0,73%), в  плановом периоде запланированы средства на уровне 2025 года. Расходы запланированы по подразделу «Молодежная политика» в рамках подпрограм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мы "Культура, спорт и мол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дежная политика в Еремеевском сельском поселении" на патриотическое, духовно нравс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венное воспитание молодежи в сумме 50 000,00 рублей ежегодно, на организацию озд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ровления и отдыха несовершеннолетних детей и молодежи 40 000,00 ру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блей ежегодно.</w:t>
      </w:r>
    </w:p>
    <w:p w:rsidR="00AC7624" w:rsidRDefault="00884339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 xml:space="preserve">Бюджетные ассигнования по разделу </w:t>
      </w:r>
      <w:r>
        <w:rPr>
          <w:rFonts w:ascii="Times New Roman" w:eastAsia="Noto Sans CJK SC" w:hAnsi="Times New Roman" w:cs="Times New Roman"/>
          <w:b/>
          <w:color w:val="000000"/>
          <w:sz w:val="24"/>
          <w:szCs w:val="24"/>
        </w:rPr>
        <w:t>«Культура и кинематография»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 xml:space="preserve"> предусмо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рены в 2025 году в объеме 1 582402,03 рублей (доля в структуре расходов 12,85%) со снижением к уровню первоначальной редакции бюджета на 3,06% и к уточненной реда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 xml:space="preserve">ции на 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20,24%. В плановом периоде 2026 году предусмотрен объем 1 628 780,00 рублей (доля в структуре расходов 14,78%) с ростом к уровню 2025 года на 2,93%, и в 2027 году 1 676 660,00 рублей (доля в структуре расходов 14,62%) с ростом к уровню 2026 года на 2,94 %.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 xml:space="preserve"> Средства предусмотрены в рамках подпрограммы "Культура, спорт и молодежная политика в Еремеевском сельском поселении" для проведения мероприятий в сфере кул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туры в сумме 165 000,00 рублей ежегодно. В рамках подпрограммы "Формирование и ра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витие муниципаль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ной собственности Еремеевского сельского поселения" на содержание муниципального имущества в сумме 1 417 402,03 рублей в 2025 году, 1 463 780,00 рублей в 2026 году , 1 511 660,00 рублей в 2027 году.</w:t>
      </w:r>
    </w:p>
    <w:p w:rsidR="00AC7624" w:rsidRDefault="00884339">
      <w:pPr>
        <w:pStyle w:val="aa"/>
        <w:spacing w:after="0"/>
        <w:ind w:firstLine="709"/>
        <w:jc w:val="both"/>
        <w:outlineLvl w:val="0"/>
      </w:pPr>
      <w:r>
        <w:rPr>
          <w:rFonts w:eastAsia="Noto Sans CJK SC"/>
          <w:color w:val="000000"/>
          <w:sz w:val="24"/>
          <w:szCs w:val="24"/>
        </w:rPr>
        <w:t xml:space="preserve">По разделу </w:t>
      </w:r>
      <w:r>
        <w:rPr>
          <w:rFonts w:eastAsia="Noto Sans CJK SC"/>
          <w:b/>
          <w:color w:val="000000"/>
          <w:sz w:val="24"/>
          <w:szCs w:val="24"/>
        </w:rPr>
        <w:t>«Социальная политика»</w:t>
      </w:r>
      <w:r>
        <w:rPr>
          <w:rFonts w:eastAsia="Noto Sans CJK SC"/>
          <w:color w:val="000000"/>
          <w:sz w:val="24"/>
          <w:szCs w:val="24"/>
        </w:rPr>
        <w:t xml:space="preserve"> предусмотрено на 2025 го</w:t>
      </w:r>
      <w:r>
        <w:rPr>
          <w:rFonts w:eastAsia="Noto Sans CJK SC"/>
          <w:color w:val="000000"/>
          <w:sz w:val="24"/>
          <w:szCs w:val="24"/>
        </w:rPr>
        <w:t xml:space="preserve">д сумма 331 078,32 рублей (доля в структуре расходов 2,69%)  с ростом к  уровню 2024 года на 13,05% к уточненной редакции и на 16,19% к первоначальной редакции. В плановом периоде  предусмотрены средства на уровне 2025 года. </w:t>
      </w:r>
      <w:r>
        <w:rPr>
          <w:sz w:val="24"/>
          <w:szCs w:val="24"/>
        </w:rPr>
        <w:t xml:space="preserve">По подразделу "Пенсионное </w:t>
      </w:r>
      <w:r>
        <w:rPr>
          <w:sz w:val="24"/>
          <w:szCs w:val="24"/>
        </w:rPr>
        <w:t xml:space="preserve">обеспечение" предусмотрено исполнение расходных обязательств Еремеевского сельского поселения Полтавского муниципального района на пенсии муниципальным служащим. Объем </w:t>
      </w:r>
      <w:r>
        <w:rPr>
          <w:sz w:val="24"/>
          <w:szCs w:val="24"/>
        </w:rPr>
        <w:lastRenderedPageBreak/>
        <w:t>бюджетных ассигнований определен исходя из среднемесячного размера выплат с учетом числе</w:t>
      </w:r>
      <w:r>
        <w:rPr>
          <w:sz w:val="24"/>
          <w:szCs w:val="24"/>
        </w:rPr>
        <w:t>нности граждан, имеющих право на получение доплаты к пенсии.</w:t>
      </w:r>
    </w:p>
    <w:p w:rsidR="00AC7624" w:rsidRDefault="00884339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Бюджетные ассигнования по разделу </w:t>
      </w:r>
      <w:r>
        <w:rPr>
          <w:rFonts w:ascii="Times New Roman" w:hAnsi="Times New Roman" w:cs="Times New Roman"/>
          <w:b/>
          <w:sz w:val="24"/>
          <w:szCs w:val="24"/>
        </w:rPr>
        <w:t>«Физическая культура и спорт»</w:t>
      </w:r>
      <w:r>
        <w:rPr>
          <w:rFonts w:ascii="Times New Roman" w:hAnsi="Times New Roman" w:cs="Times New Roman"/>
          <w:sz w:val="24"/>
          <w:szCs w:val="24"/>
        </w:rPr>
        <w:t xml:space="preserve"> предусмо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рены на 2025 год в сумме 21 800,00 рублей (доля в структуре расходов 0,17%) со сниж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нием к первоначальной и уточненной ред</w:t>
      </w:r>
      <w:r>
        <w:rPr>
          <w:rFonts w:ascii="Times New Roman" w:hAnsi="Times New Roman" w:cs="Times New Roman"/>
          <w:sz w:val="24"/>
          <w:szCs w:val="24"/>
        </w:rPr>
        <w:t>акции бюджета 2024 года на 92,08% и 93,65%. В плановом периоде 2026и 2027 годов предусмотрен объем 257 000,00 рублей ежегодно. Средства предусмотрены в рамках п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одпрограммы "Культура, спорт и молодежная пол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тика в Еремеевском сельском поселении" на укреплен</w:t>
      </w:r>
      <w:r>
        <w:rPr>
          <w:rFonts w:ascii="Times New Roman" w:eastAsia="Noto Sans CJK SC" w:hAnsi="Times New Roman" w:cs="Times New Roman"/>
          <w:color w:val="000000"/>
          <w:sz w:val="24"/>
          <w:szCs w:val="24"/>
        </w:rPr>
        <w:t>ие материально-технической базы, развитие спорта высших достижений.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Проектом решения бюджета Еремеевского сельского поселения Полтавского муниципального района на 2025 год и плановый период 2026 и 2027 годов предусмотрена реализация двух муниципальных прог</w:t>
      </w:r>
      <w:r>
        <w:rPr>
          <w:rFonts w:ascii="Times New Roman" w:hAnsi="Times New Roman" w:cs="Times New Roman"/>
          <w:sz w:val="24"/>
          <w:szCs w:val="24"/>
        </w:rPr>
        <w:t>рамм.</w:t>
      </w:r>
      <w:r>
        <w:rPr>
          <w:rFonts w:ascii="Times New Roman" w:eastAsia="Calibri" w:hAnsi="Times New Roman" w:cs="Times New Roman"/>
          <w:sz w:val="24"/>
          <w:szCs w:val="24"/>
        </w:rPr>
        <w:t xml:space="preserve"> Финансовое обеспечение предусмотренное проектами паспортов муниципальных программ на 2025-2027 годы соответствует объемам запланированным проектом бюджета.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Основной целью муниципальных программ является улучшение качества жизни населения.</w:t>
      </w:r>
    </w:p>
    <w:p w:rsidR="00AC7624" w:rsidRDefault="00AC7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7624" w:rsidRDefault="00884339">
      <w:pPr>
        <w:pStyle w:val="Heading1"/>
        <w:ind w:firstLine="709"/>
        <w:jc w:val="both"/>
      </w:pPr>
      <w:r>
        <w:rPr>
          <w:sz w:val="24"/>
          <w:szCs w:val="24"/>
        </w:rPr>
        <w:t>3.3. Источ</w:t>
      </w:r>
      <w:r>
        <w:rPr>
          <w:sz w:val="24"/>
          <w:szCs w:val="24"/>
        </w:rPr>
        <w:t xml:space="preserve">ники финансирования дефицита местного бюджета в 2025 году и плановом периоде 2026 и 2027 годов.  </w:t>
      </w:r>
    </w:p>
    <w:p w:rsidR="00AC7624" w:rsidRDefault="00AC7624">
      <w:pPr>
        <w:pStyle w:val="ConsNonformat"/>
        <w:ind w:firstLine="709"/>
        <w:jc w:val="both"/>
        <w:rPr>
          <w:sz w:val="24"/>
          <w:szCs w:val="24"/>
        </w:rPr>
      </w:pPr>
    </w:p>
    <w:p w:rsidR="00AC7624" w:rsidRDefault="00884339">
      <w:pPr>
        <w:pStyle w:val="ConsNonforma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Проект бюджета на 2024 год и плановый период 2025 и 2026 годов сформирован сбалансированным бездефицитным. Пиложением 6 к проекту бюджета предусмотрены внутр</w:t>
      </w:r>
      <w:r>
        <w:rPr>
          <w:rFonts w:ascii="Times New Roman" w:hAnsi="Times New Roman"/>
          <w:sz w:val="24"/>
          <w:szCs w:val="24"/>
        </w:rPr>
        <w:t>енние источники финансирования дефицита бюджета в виде изменения остатков средств на счетах по учету средств бюджета, что соответствует ст 92 БК РФ.</w:t>
      </w:r>
    </w:p>
    <w:p w:rsidR="00AC7624" w:rsidRDefault="00AC7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7624" w:rsidRDefault="00884339">
      <w:pPr>
        <w:spacing w:after="0" w:line="240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4.Выводы и предложения</w:t>
      </w:r>
    </w:p>
    <w:p w:rsidR="00AC7624" w:rsidRDefault="0088433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1.Проект бюджета Еремеевского сельского поселения Полтавского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на 2025 год и  на плановый период 2027 и 2027 годов внесен распоряжением администрации  Еремеевского сельского поселения Полтавского муниципального района на рассмотрение в представительный орган своевременно.</w:t>
      </w:r>
    </w:p>
    <w:p w:rsidR="00AC7624" w:rsidRDefault="0088433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2.Представленный проект  бюджета соответствуе</w:t>
      </w:r>
      <w:r>
        <w:rPr>
          <w:rFonts w:ascii="Times New Roman" w:hAnsi="Times New Roman" w:cs="Times New Roman"/>
          <w:sz w:val="24"/>
          <w:szCs w:val="24"/>
        </w:rPr>
        <w:t xml:space="preserve">т требованиям статьям 184.1 и 184.2 Бюджетного Кодекса Российской Федерации в части полноты самого проекта решения, а также документов и материалов, предоставляемых в Совет одновременно с ними. </w:t>
      </w:r>
    </w:p>
    <w:p w:rsidR="00AC7624" w:rsidRDefault="0088433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положениями  статьи 172 Бюджетного кодекса Р</w:t>
      </w:r>
      <w:r>
        <w:rPr>
          <w:rFonts w:ascii="Times New Roman" w:hAnsi="Times New Roman" w:cs="Times New Roman"/>
          <w:sz w:val="24"/>
          <w:szCs w:val="24"/>
        </w:rPr>
        <w:t>Ф проект бюджета основан на основных направлениях бюджетной и налоговой политики муниципального образования, прогнозе социально-экономического развития  территории, бюджетном прогнозе муниципального образования на долгосрочный период.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Прогноз социально-эко</w:t>
      </w:r>
      <w:r>
        <w:rPr>
          <w:rFonts w:ascii="Times New Roman" w:hAnsi="Times New Roman" w:cs="Times New Roman"/>
          <w:sz w:val="24"/>
          <w:szCs w:val="24"/>
        </w:rPr>
        <w:t>номического развития поселения на 2025 и плановый период 2026 и 2027 годов  одобрен в соответствии с бюджетным законодательством.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Контрольно-счетным органом установлены ряд нарушений и недостатков в содержании документов предоставленных одновременно с прое</w:t>
      </w:r>
      <w:r>
        <w:rPr>
          <w:rFonts w:ascii="Times New Roman" w:hAnsi="Times New Roman" w:cs="Times New Roman"/>
          <w:b/>
          <w:bCs/>
          <w:sz w:val="24"/>
          <w:szCs w:val="24"/>
        </w:rPr>
        <w:t>ктом бюджета.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3.Основные характеристики бюджета (общий объем доходов, общий объем расходов, дефицит (профицит) бюджета) спрогнозированы  в соответствии со ст.184.1 Бюджетного кодекса 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4.При формировании проекта бюджета соблюдены ограничения, установленные </w:t>
      </w:r>
      <w:r>
        <w:rPr>
          <w:rFonts w:ascii="Times New Roman" w:hAnsi="Times New Roman" w:cs="Times New Roman"/>
          <w:sz w:val="24"/>
          <w:szCs w:val="24"/>
        </w:rPr>
        <w:t>Бюджетным кодексом Российской Федерации, а именно:  по размеру дефицита бюджета, объему муниципального долга и расходам на его обслуживание, предельному объему заимствований, общему объему условно утверждаемых расходов.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5. По своей структуре и содержанию п</w:t>
      </w:r>
      <w:r>
        <w:rPr>
          <w:rFonts w:ascii="Times New Roman" w:hAnsi="Times New Roman" w:cs="Times New Roman"/>
          <w:sz w:val="24"/>
          <w:szCs w:val="24"/>
        </w:rPr>
        <w:t>роект  решения сформирован в соответствии с требованиями  пункта 3 статьи 184.1 Бюджетного кодекса РФ.</w:t>
      </w:r>
    </w:p>
    <w:p w:rsidR="00AC7624" w:rsidRDefault="008843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6. Результаты рассмотрения проекта решения в части прогнозируемых доходов на </w:t>
      </w:r>
      <w:r>
        <w:rPr>
          <w:rFonts w:ascii="Times New Roman" w:hAnsi="Times New Roman" w:cs="Times New Roman"/>
          <w:sz w:val="24"/>
          <w:szCs w:val="24"/>
        </w:rPr>
        <w:lastRenderedPageBreak/>
        <w:t>2025 год и на плановый период 2026 и 2027 годов свидетельствует о соблюдении требований бюджетного законодательства, предъявляемых к формированию бюджета (ст.174.1 БК РФ). Предусм</w:t>
      </w:r>
      <w:r>
        <w:rPr>
          <w:rFonts w:ascii="Times New Roman" w:hAnsi="Times New Roman" w:cs="Times New Roman"/>
          <w:sz w:val="24"/>
          <w:szCs w:val="24"/>
        </w:rPr>
        <w:t xml:space="preserve">отренные проектом решения виды налоговых и неналоговых доходов местного бюджета соответствуют перечню, установленному БК РФ. </w:t>
      </w:r>
    </w:p>
    <w:p w:rsidR="00AC7624" w:rsidRDefault="00884339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7. Расходная часть бюджета сформирована в соответствии с законодательно обусловленными расходными обязательствами, исполнение кото</w:t>
      </w:r>
      <w:r>
        <w:rPr>
          <w:rFonts w:ascii="Times New Roman" w:hAnsi="Times New Roman" w:cs="Times New Roman"/>
          <w:sz w:val="24"/>
          <w:szCs w:val="24"/>
        </w:rPr>
        <w:t xml:space="preserve">рых должно производиться в очередном финансовом году и плановом периоде за счет бюджетных средств. </w:t>
      </w:r>
      <w:r>
        <w:rPr>
          <w:rFonts w:ascii="Times New Roman" w:hAnsi="Times New Roman" w:cs="Times New Roman"/>
          <w:bCs/>
          <w:sz w:val="24"/>
          <w:szCs w:val="24"/>
        </w:rPr>
        <w:t>Расчет планируемых ассигнований  учитывает уровень инфляции текущего года и прогнозируемого на 2025 год, планируемую индексацию социальных выплат.</w:t>
      </w:r>
    </w:p>
    <w:p w:rsidR="00AC7624" w:rsidRDefault="0088433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Расходы на</w:t>
      </w:r>
      <w:r>
        <w:rPr>
          <w:rFonts w:ascii="Times New Roman" w:hAnsi="Times New Roman" w:cs="Times New Roman"/>
          <w:sz w:val="24"/>
          <w:szCs w:val="24"/>
        </w:rPr>
        <w:t xml:space="preserve"> исполнение муниципальных программ на 2025 год и на плановый период 2026 и 2027 годов предлагаются к утверждению на основании проектов паспортов муниципальных программ в полном объеме. </w:t>
      </w:r>
    </w:p>
    <w:p w:rsidR="00AC7624" w:rsidRDefault="00884339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8. На основании изложенного, Контрольно-счетный орган считает, что  пр</w:t>
      </w:r>
      <w:r>
        <w:rPr>
          <w:rFonts w:ascii="Times New Roman" w:hAnsi="Times New Roman" w:cs="Times New Roman"/>
          <w:sz w:val="24"/>
          <w:szCs w:val="24"/>
        </w:rPr>
        <w:t xml:space="preserve">оект бюджета Еремеевского сельского поселения Полтавского муниципального района  на  2025 год и на плановый период 2026 и 2027 годов  соответствует  нормам бюджетного законодательства и может быть  рекомендован к принятию в первом чтении, после устранения </w:t>
      </w:r>
      <w:r>
        <w:rPr>
          <w:rFonts w:ascii="Times New Roman" w:hAnsi="Times New Roman" w:cs="Times New Roman"/>
          <w:sz w:val="24"/>
          <w:szCs w:val="24"/>
        </w:rPr>
        <w:t>указанных в настоящем заключении недостатков относительно документов представляемых одновременно с проектом бюджета.</w:t>
      </w:r>
    </w:p>
    <w:p w:rsidR="00AC7624" w:rsidRDefault="00AC7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7624" w:rsidRDefault="00AC7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7624" w:rsidRDefault="00AC7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7624" w:rsidRDefault="00884339">
      <w:pPr>
        <w:tabs>
          <w:tab w:val="center" w:pos="4677"/>
        </w:tabs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Председатель                                                                                                  Е. В. Галаган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sectPr w:rsidR="00AC7624" w:rsidSect="00AC7624">
      <w:pgSz w:w="11906" w:h="16838"/>
      <w:pgMar w:top="1134" w:right="850" w:bottom="1134" w:left="1701" w:header="708" w:footer="0" w:gutter="0"/>
      <w:cols w:space="720"/>
      <w:formProt w:val="0"/>
      <w:docGrid w:linePitch="360" w:charSpace="1228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339" w:rsidRDefault="00884339" w:rsidP="00AC7624">
      <w:pPr>
        <w:spacing w:after="0" w:line="240" w:lineRule="auto"/>
      </w:pPr>
      <w:r>
        <w:separator/>
      </w:r>
    </w:p>
  </w:endnote>
  <w:endnote w:type="continuationSeparator" w:id="1">
    <w:p w:rsidR="00884339" w:rsidRDefault="00884339" w:rsidP="00AC7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339" w:rsidRDefault="00884339" w:rsidP="00AC7624">
      <w:pPr>
        <w:spacing w:after="0" w:line="240" w:lineRule="auto"/>
      </w:pPr>
      <w:r>
        <w:separator/>
      </w:r>
    </w:p>
  </w:footnote>
  <w:footnote w:type="continuationSeparator" w:id="1">
    <w:p w:rsidR="00884339" w:rsidRDefault="00884339" w:rsidP="00AC76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7624"/>
    <w:rsid w:val="00884339"/>
    <w:rsid w:val="00AC7624"/>
    <w:rsid w:val="00B14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E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1"/>
    <w:qFormat/>
    <w:rsid w:val="00AE7E8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Нижний колонтитул Знак"/>
    <w:basedOn w:val="a0"/>
    <w:uiPriority w:val="99"/>
    <w:qFormat/>
    <w:rsid w:val="00E33E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E33E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33EC5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qFormat/>
    <w:rsid w:val="003B6D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4">
    <w:name w:val="Font Style34"/>
    <w:basedOn w:val="a0"/>
    <w:qFormat/>
    <w:rsid w:val="00E91205"/>
    <w:rPr>
      <w:rFonts w:ascii="Times New Roman" w:hAnsi="Times New Roman" w:cs="Times New Roman"/>
      <w:sz w:val="26"/>
      <w:szCs w:val="26"/>
    </w:rPr>
  </w:style>
  <w:style w:type="character" w:customStyle="1" w:styleId="a7">
    <w:name w:val="Название Знак"/>
    <w:basedOn w:val="a0"/>
    <w:qFormat/>
    <w:rsid w:val="003423D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qFormat/>
    <w:rsid w:val="00562E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Заголовок 1 Знак"/>
    <w:basedOn w:val="a0"/>
    <w:qFormat/>
    <w:rsid w:val="00AE7E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qFormat/>
    <w:rsid w:val="00AE7E8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Гиперссылка1"/>
    <w:rsid w:val="001E365F"/>
    <w:rPr>
      <w:color w:val="000080"/>
      <w:u w:val="single"/>
    </w:rPr>
  </w:style>
  <w:style w:type="character" w:customStyle="1" w:styleId="11">
    <w:name w:val="Заголовок 1 Знак1"/>
    <w:basedOn w:val="a0"/>
    <w:link w:val="Heading1"/>
    <w:qFormat/>
    <w:rsid w:val="007345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9">
    <w:name w:val="Заголовок"/>
    <w:basedOn w:val="a"/>
    <w:next w:val="aa"/>
    <w:qFormat/>
    <w:rsid w:val="001E365F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a">
    <w:name w:val="Body Text"/>
    <w:basedOn w:val="a"/>
    <w:rsid w:val="00562E65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"/>
    <w:basedOn w:val="aa"/>
    <w:rsid w:val="001E365F"/>
    <w:rPr>
      <w:rFonts w:cs="Lohit Devanagari"/>
    </w:rPr>
  </w:style>
  <w:style w:type="paragraph" w:customStyle="1" w:styleId="Caption">
    <w:name w:val="Caption"/>
    <w:basedOn w:val="a"/>
    <w:qFormat/>
    <w:rsid w:val="001E365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c">
    <w:name w:val="index heading"/>
    <w:basedOn w:val="a"/>
    <w:qFormat/>
    <w:rsid w:val="001E365F"/>
    <w:pPr>
      <w:suppressLineNumbers/>
    </w:pPr>
    <w:rPr>
      <w:rFonts w:cs="Lohit Devanagari"/>
    </w:rPr>
  </w:style>
  <w:style w:type="paragraph" w:customStyle="1" w:styleId="ad">
    <w:name w:val="Верхний и нижний колонтитулы"/>
    <w:basedOn w:val="a"/>
    <w:qFormat/>
    <w:rsid w:val="001E365F"/>
  </w:style>
  <w:style w:type="paragraph" w:customStyle="1" w:styleId="ae">
    <w:name w:val="Колонтитул"/>
    <w:basedOn w:val="a"/>
    <w:qFormat/>
    <w:rsid w:val="00AC7624"/>
  </w:style>
  <w:style w:type="paragraph" w:customStyle="1" w:styleId="Footer">
    <w:name w:val="Footer"/>
    <w:basedOn w:val="a"/>
    <w:uiPriority w:val="99"/>
    <w:rsid w:val="00E33E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uiPriority w:val="99"/>
    <w:rsid w:val="00E33E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E33EC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E33EC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uiPriority w:val="99"/>
    <w:semiHidden/>
    <w:unhideWhenUsed/>
    <w:qFormat/>
    <w:rsid w:val="00E33EC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1">
    <w:name w:val="Body Text Indent"/>
    <w:basedOn w:val="a"/>
    <w:rsid w:val="003B6DE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qFormat/>
    <w:rsid w:val="00E91205"/>
    <w:pPr>
      <w:widowControl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qFormat/>
    <w:rsid w:val="00E91205"/>
    <w:pPr>
      <w:widowControl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qFormat/>
    <w:rsid w:val="003423D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Normal (Web)"/>
    <w:basedOn w:val="a"/>
    <w:uiPriority w:val="99"/>
    <w:qFormat/>
    <w:rsid w:val="00D34FF8"/>
    <w:pPr>
      <w:spacing w:after="75" w:line="240" w:lineRule="auto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paragraph" w:customStyle="1" w:styleId="ConsNonformat">
    <w:name w:val="ConsNonformat"/>
    <w:qFormat/>
    <w:rsid w:val="007C2CB6"/>
    <w:pPr>
      <w:widowControl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qFormat/>
    <w:rsid w:val="007C2CB6"/>
    <w:pPr>
      <w:widowControl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0">
    <w:name w:val="Body Text Indent 3"/>
    <w:basedOn w:val="a"/>
    <w:qFormat/>
    <w:rsid w:val="00AE7E8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No Spacing"/>
    <w:uiPriority w:val="99"/>
    <w:qFormat/>
    <w:rsid w:val="0075597C"/>
    <w:pPr>
      <w:suppressAutoHyphens w:val="0"/>
    </w:pPr>
    <w:rPr>
      <w:rFonts w:eastAsia="Times New Roman" w:cs="Times New Roman"/>
      <w:lang w:eastAsia="ru-RU"/>
    </w:rPr>
  </w:style>
  <w:style w:type="table" w:styleId="af5">
    <w:name w:val="Table Grid"/>
    <w:basedOn w:val="a1"/>
    <w:rsid w:val="00E33EC5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12"/>
    <w:uiPriority w:val="99"/>
    <w:semiHidden/>
    <w:unhideWhenUsed/>
    <w:rsid w:val="00B14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f6"/>
    <w:uiPriority w:val="99"/>
    <w:semiHidden/>
    <w:rsid w:val="00B1438B"/>
  </w:style>
  <w:style w:type="paragraph" w:styleId="af7">
    <w:name w:val="footer"/>
    <w:basedOn w:val="a"/>
    <w:link w:val="13"/>
    <w:uiPriority w:val="99"/>
    <w:semiHidden/>
    <w:unhideWhenUsed/>
    <w:rsid w:val="00B14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7"/>
    <w:uiPriority w:val="99"/>
    <w:semiHidden/>
    <w:rsid w:val="00B1438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71852-040C-4224-8338-1DA2D455F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16</Pages>
  <Words>7207</Words>
  <Characters>41083</Characters>
  <Application>Microsoft Office Word</Application>
  <DocSecurity>0</DocSecurity>
  <Lines>342</Lines>
  <Paragraphs>96</Paragraphs>
  <ScaleCrop>false</ScaleCrop>
  <Company>CtrlSoft</Company>
  <LinksUpToDate>false</LinksUpToDate>
  <CharactersWithSpaces>48194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Win7x32</dc:creator>
  <dc:description/>
  <cp:lastModifiedBy>JetGame</cp:lastModifiedBy>
  <cp:revision>65</cp:revision>
  <cp:lastPrinted>2024-11-18T12:35:00Z</cp:lastPrinted>
  <dcterms:created xsi:type="dcterms:W3CDTF">2024-11-16T13:32:00Z</dcterms:created>
  <dcterms:modified xsi:type="dcterms:W3CDTF">2024-11-22T05:37:00Z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